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仿宋GB2312" w:hAnsi="仿宋GB2312" w:eastAsia="仿宋GB2312" w:cs="仿宋GB2312"/>
          <w:sz w:val="32"/>
          <w:szCs w:val="32"/>
        </w:rPr>
      </w:pPr>
      <w:r>
        <w:rPr>
          <w:rFonts w:hint="eastAsia" w:ascii="黑体" w:hAnsi="黑体" w:eastAsia="黑体" w:cs="黑体"/>
          <w:sz w:val="32"/>
          <w:szCs w:val="32"/>
        </w:rPr>
        <w:t>附件</w:t>
      </w:r>
      <w:r>
        <w:rPr>
          <w:rFonts w:hint="eastAsia" w:ascii="仿宋GB2312" w:hAnsi="仿宋GB2312" w:eastAsia="仿宋GB2312" w:cs="仿宋GB2312"/>
          <w:sz w:val="32"/>
          <w:szCs w:val="32"/>
        </w:rPr>
        <w:t xml:space="preserve"> </w:t>
      </w:r>
    </w:p>
    <w:p>
      <w:pPr>
        <w:rPr>
          <w:rFonts w:hint="eastAsia" w:ascii="仿宋GB2312" w:hAnsi="仿宋GB2312" w:eastAsia="仿宋GB2312" w:cs="仿宋GB2312"/>
          <w:sz w:val="32"/>
          <w:szCs w:val="32"/>
        </w:rPr>
      </w:pPr>
      <w:r>
        <w:rPr>
          <w:rFonts w:hint="eastAsia" w:ascii="仿宋GB2312" w:hAnsi="仿宋GB2312" w:eastAsia="仿宋GB2312" w:cs="仿宋GB2312"/>
          <w:b/>
          <w:bCs/>
          <w:sz w:val="32"/>
          <w:szCs w:val="32"/>
        </w:rPr>
        <w:t>世界知识产权组织</w:t>
      </w:r>
      <w:r>
        <w:rPr>
          <w:rFonts w:hint="eastAsia" w:ascii="仿宋GB2312" w:hAnsi="仿宋GB2312" w:eastAsia="仿宋GB2312" w:cs="仿宋GB2312"/>
          <w:sz w:val="32"/>
          <w:szCs w:val="32"/>
        </w:rPr>
        <w:t xml:space="preserve"> </w:t>
      </w:r>
    </w:p>
    <w:p>
      <w:pPr>
        <w:numPr>
          <w:ilvl w:val="0"/>
          <w:numId w:val="1"/>
        </w:numPr>
        <w:ind w:left="640" w:hanging="640" w:hanging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海牙体系—希腊和意大利批准《日内瓦文本（1999年）》</w:t>
      </w:r>
    </w:p>
    <w:p>
      <w:pPr>
        <w:numPr>
          <w:numId w:val="0"/>
        </w:numPr>
        <w:ind w:leftChars="-200" w:firstLine="640" w:firstLineChars="200"/>
        <w:rPr>
          <w:rFonts w:hint="eastAsia" w:ascii="仿宋GB2312" w:hAnsi="仿宋GB2312" w:eastAsia="仿宋GB2312" w:cs="仿宋GB2312"/>
          <w:sz w:val="32"/>
          <w:szCs w:val="32"/>
          <w:lang w:eastAsia="zh-CN"/>
        </w:rPr>
      </w:pPr>
      <w:r>
        <w:rPr>
          <w:rFonts w:hint="eastAsia" w:ascii="仿宋GB2312" w:hAnsi="仿宋GB2312" w:eastAsia="仿宋GB2312" w:cs="仿宋GB2312"/>
          <w:sz w:val="32"/>
          <w:szCs w:val="32"/>
        </w:rPr>
        <w:t>《工业品外观设计国际注册海牙协定日内瓦文本（1999年）》将于 2024 年 2 月 13 日对希腊生效，随后将于2024年3 月 14 日对意大利生效。希腊和意大利的批准使《1999年日内瓦文本》的缔约方总数达到73 个。随着希腊和意大利批准《1999 年日内瓦文本》，欧洲联盟所有先前加入《1960年海牙文本》的成员国现在都已加入《1999 年日内瓦文本》，达到了一个重要的里程碑</w:t>
      </w:r>
      <w:r>
        <w:rPr>
          <w:rFonts w:hint="eastAsia" w:ascii="仿宋GB2312" w:hAnsi="仿宋GB2312" w:eastAsia="仿宋GB2312" w:cs="仿宋GB2312"/>
          <w:sz w:val="32"/>
          <w:szCs w:val="32"/>
          <w:lang w:eastAsia="zh-CN"/>
        </w:rPr>
        <w:t>。</w:t>
      </w:r>
    </w:p>
    <w:p>
      <w:pPr>
        <w:numPr>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来</w:t>
      </w:r>
      <w:r>
        <w:rPr>
          <w:rFonts w:hint="eastAsia" w:ascii="仿宋GB2312" w:hAnsi="仿宋GB2312" w:eastAsia="仿宋GB2312" w:cs="仿宋GB2312"/>
          <w:sz w:val="32"/>
          <w:szCs w:val="32"/>
        </w:rPr>
        <w:t xml:space="preserve">源：WIPO 官方网站 </w:t>
      </w:r>
    </w:p>
    <w:p>
      <w:pPr>
        <w:numPr>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https://www.wipo.int/hague/zh/news/2024/news_0003.html </w:t>
      </w:r>
    </w:p>
    <w:p>
      <w:pPr>
        <w:numPr>
          <w:ilvl w:val="0"/>
          <w:numId w:val="1"/>
        </w:numPr>
        <w:ind w:left="640" w:leftChars="0" w:hanging="640" w:hanging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海牙体系——指定费变更：日本、以色列和匈牙利</w:t>
      </w:r>
    </w:p>
    <w:p>
      <w:pPr>
        <w:numPr>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自 2024 年 3 月 1 日起，在国际申请中指定日本或国际注册续展时适用的单独指定费将减少。 此外，自 2024 年 3 月 7 日起，在国际申请中指定以色列或国际注册续展时适用的单独指定费将略有增加。对于匈牙利，自 2024 年4 月1 日起，指定该国的国际申请将适用二级标准指定费。</w:t>
      </w:r>
    </w:p>
    <w:p>
      <w:pPr>
        <w:numPr>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来源：WIPO 官方网站 </w:t>
      </w:r>
    </w:p>
    <w:p>
      <w:pPr>
        <w:numPr>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https://www.wipo.int/pct/en/news/2023/news_0037.html </w:t>
      </w:r>
    </w:p>
    <w:p>
      <w:pPr>
        <w:numPr>
          <w:numId w:val="0"/>
        </w:numPr>
        <w:ind w:leftChars="-200" w:firstLine="643" w:firstLineChars="200"/>
        <w:rPr>
          <w:rFonts w:hint="eastAsia" w:ascii="仿宋GB2312" w:hAnsi="仿宋GB2312" w:eastAsia="仿宋GB2312" w:cs="仿宋GB2312"/>
          <w:b/>
          <w:bCs/>
          <w:sz w:val="32"/>
          <w:szCs w:val="32"/>
        </w:rPr>
      </w:pPr>
      <w:r>
        <w:rPr>
          <w:rFonts w:hint="eastAsia" w:ascii="仿宋GB2312" w:hAnsi="仿宋GB2312" w:eastAsia="仿宋GB2312" w:cs="仿宋GB2312"/>
          <w:b/>
          <w:bCs/>
          <w:sz w:val="32"/>
          <w:szCs w:val="32"/>
        </w:rPr>
        <w:t xml:space="preserve">美国 </w:t>
      </w:r>
    </w:p>
    <w:p>
      <w:pPr>
        <w:numPr>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1.美国专利商标局（USPTO）即将以电子方式颁发专利授权证书 2023 年 4 月 18 日，美国专利商标局（USPTO）开始签发专利授权电子证书（eGrant），这使专利所有人和公众都能通过专利中心查看和打印签发后的专利证书。自过渡以来，USPTO 已签发了超过 20 万份电子授权书。USPTO 将继续简化流程，该局将从2024 年1 月30日开始以电子方式颁发专利更正证书。这将允许专利所有人和公众通过专利中心立即查看和打印已签发的更正证书，类似于电子授权书。 </w:t>
      </w:r>
    </w:p>
    <w:p>
      <w:pPr>
        <w:numPr>
          <w:numId w:val="0"/>
        </w:numPr>
        <w:ind w:left="220" w:leftChars="105"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来源：美国专利商标</w:t>
      </w:r>
    </w:p>
    <w:p>
      <w:pPr>
        <w:numPr>
          <w:numId w:val="0"/>
        </w:numPr>
        <w:ind w:left="220" w:leftChars="105"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https://www.uspto.gov/about-us/news-updates/uspto-</w:t>
      </w:r>
    </w:p>
    <w:p>
      <w:pPr>
        <w:numPr>
          <w:numId w:val="0"/>
        </w:numPr>
        <w:ind w:left="-420" w:leftChars="-200"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establishes-new-pre-application-assessment-program-h elp-american </w:t>
      </w:r>
    </w:p>
    <w:p>
      <w:pPr>
        <w:numPr>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2.</w:t>
      </w:r>
      <w:r>
        <w:rPr>
          <w:rFonts w:hint="eastAsia" w:ascii="仿宋GB2312" w:hAnsi="仿宋GB2312" w:eastAsia="仿宋GB2312" w:cs="仿宋GB2312"/>
          <w:sz w:val="32"/>
          <w:szCs w:val="32"/>
        </w:rPr>
        <w:t>美国专利商标局（USPTO）与美国国家海洋和大气管理局</w:t>
      </w:r>
    </w:p>
    <w:p>
      <w:pPr>
        <w:numPr>
          <w:numId w:val="0"/>
        </w:numPr>
        <w:ind w:left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NOAA）签署合作协议，推进气候技术美国专利商标局（USPTO）和美国国家海洋和大气管理局（NOAA）签署了一份谅解备忘录（MOU），以共同努力并推进技术领域的创新，以促进气候，蓝色和绿色经济，从而增强我们国家应对气候变化的能力，促进环境管理，并鼓励可持续经济发展。 </w:t>
      </w:r>
    </w:p>
    <w:p>
      <w:pPr>
        <w:numPr>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来源：美国专利商标局 </w:t>
      </w:r>
    </w:p>
    <w:p>
      <w:pPr>
        <w:numPr>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https://www.uspto.gov/about-us/news-updates/noaa-uspto-sign-collaborative-agreement-advance-climate-technology </w:t>
      </w:r>
    </w:p>
    <w:p>
      <w:pPr>
        <w:numPr>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3.</w:t>
      </w:r>
      <w:r>
        <w:rPr>
          <w:rFonts w:hint="eastAsia" w:ascii="仿宋GB2312" w:hAnsi="仿宋GB2312" w:eastAsia="仿宋GB2312" w:cs="仿宋GB2312"/>
          <w:sz w:val="32"/>
          <w:szCs w:val="32"/>
        </w:rPr>
        <w:t>美国版权局发布关于定期审查机械许权集体管理组织和</w:t>
      </w:r>
    </w:p>
    <w:p>
      <w:pPr>
        <w:numPr>
          <w:numId w:val="0"/>
        </w:numPr>
        <w:ind w:left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数字被许可人协调员的指定调查通知2024 年 1 月 30 日，根据《音乐现代化法案》，美国版权局发布了一份调查通知，就其对定期审查机械许权集体管理组织和数字被许可人协调员的指定征求公众意见。目的于履行与管理非戏剧性音乐作品复制和发行的一揽子法定机械许可有关的重要法定职能。 </w:t>
      </w:r>
    </w:p>
    <w:p>
      <w:pPr>
        <w:numPr>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来源：美国专利商标局 </w:t>
      </w:r>
    </w:p>
    <w:p>
      <w:pPr>
        <w:numPr>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https://www.copyright.gov/newsnet/2024/1032.html </w:t>
      </w:r>
    </w:p>
    <w:p>
      <w:pPr>
        <w:numPr>
          <w:numId w:val="0"/>
        </w:numPr>
        <w:ind w:leftChars="-200" w:firstLine="643" w:firstLineChars="200"/>
        <w:rPr>
          <w:rFonts w:hint="eastAsia" w:ascii="仿宋GB2312" w:hAnsi="仿宋GB2312" w:eastAsia="仿宋GB2312" w:cs="仿宋GB2312"/>
          <w:sz w:val="32"/>
          <w:szCs w:val="32"/>
        </w:rPr>
      </w:pPr>
      <w:r>
        <w:rPr>
          <w:rFonts w:hint="eastAsia" w:ascii="仿宋GB2312" w:hAnsi="仿宋GB2312" w:eastAsia="仿宋GB2312" w:cs="仿宋GB2312"/>
          <w:b/>
          <w:bCs/>
          <w:sz w:val="32"/>
          <w:szCs w:val="32"/>
        </w:rPr>
        <w:t>英国</w:t>
      </w:r>
      <w:r>
        <w:rPr>
          <w:rFonts w:hint="eastAsia" w:ascii="仿宋GB2312" w:hAnsi="仿宋GB2312" w:eastAsia="仿宋GB2312" w:cs="仿宋GB2312"/>
          <w:sz w:val="32"/>
          <w:szCs w:val="32"/>
        </w:rPr>
        <w:t xml:space="preserve"> </w:t>
      </w:r>
    </w:p>
    <w:p>
      <w:pPr>
        <w:numPr>
          <w:numId w:val="0"/>
        </w:numPr>
        <w:tabs>
          <w:tab w:val="left" w:pos="-420"/>
        </w:tabs>
        <w:ind w:left="-420" w:leftChars="0" w:firstLine="838" w:firstLineChars="262"/>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音乐流媒体行业透明守则》英国知识产权局（IPO）公布了《音乐流媒体透明度良好做法守则》。自愿守则是由代表音乐创作者、唱片公司、出版商、数字服务提供商、发行商和收藏协会的12个音乐行业机构制定和商定的。这一守则的协议是政府响应文化、媒体和体育专责委员会"音乐流媒体调查"建议所作承诺的一部分。首次公开募股将监督《守则》的实施情况，每六个月召开签署组织会议，审议《守则》的运作情况，并于2026年对《守则》进行正式审查。</w:t>
      </w:r>
    </w:p>
    <w:p>
      <w:pPr>
        <w:numPr>
          <w:ilvl w:val="0"/>
          <w:numId w:val="0"/>
        </w:numPr>
        <w:ind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来源：英国知识产权局 </w:t>
      </w:r>
    </w:p>
    <w:p>
      <w:pPr>
        <w:numPr>
          <w:numId w:val="0"/>
        </w:numPr>
        <w:ind w:left="-420" w:leftChars="-200" w:firstLine="640" w:firstLineChars="200"/>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rPr>
        <w:t xml:space="preserve">https://www.gov.uk/government/news/industry-transparency-code-on-music-streaming-announced-by-government </w:t>
      </w:r>
      <w:r>
        <w:rPr>
          <w:rFonts w:hint="eastAsia" w:ascii="仿宋GB2312" w:hAnsi="仿宋GB2312" w:eastAsia="仿宋GB2312" w:cs="仿宋GB2312"/>
          <w:sz w:val="32"/>
          <w:szCs w:val="32"/>
          <w:lang w:val="en-US" w:eastAsia="zh-CN"/>
        </w:rPr>
        <w:t xml:space="preserve">  </w:t>
      </w:r>
    </w:p>
    <w:p>
      <w:pPr>
        <w:numPr>
          <w:numId w:val="0"/>
        </w:numPr>
        <w:ind w:left="-420" w:leftChars="0" w:firstLine="640" w:firstLineChars="200"/>
      </w:pPr>
      <w:r>
        <w:rPr>
          <w:rFonts w:hint="eastAsia" w:ascii="仿宋GB2312" w:hAnsi="仿宋GB2312" w:eastAsia="仿宋GB2312" w:cs="仿宋GB2312"/>
          <w:sz w:val="32"/>
          <w:szCs w:val="32"/>
          <w:lang w:val="en-US" w:eastAsia="zh-CN"/>
        </w:rPr>
        <w:t>2.</w:t>
      </w:r>
      <w:r>
        <w:rPr>
          <w:rFonts w:hint="eastAsia" w:ascii="仿宋GB2312" w:hAnsi="仿宋GB2312" w:eastAsia="仿宋GB2312" w:cs="仿宋GB2312"/>
          <w:sz w:val="32"/>
          <w:szCs w:val="32"/>
        </w:rPr>
        <w:t xml:space="preserve">《专利合作条约》（PCT）费用变动根据《专利合作条约》在英国知识产权局（RO/GB）递交申请所需支付的费用的变更通知现已发布，自2024年1月 1 日起生效。 </w:t>
      </w:r>
    </w:p>
    <w:p>
      <w:pPr>
        <w:numPr>
          <w:numId w:val="0"/>
        </w:numPr>
        <w:ind w:left="220" w:left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来源：英国知识产权局 </w:t>
      </w:r>
    </w:p>
    <w:p>
      <w:pPr>
        <w:numPr>
          <w:numId w:val="0"/>
        </w:numPr>
        <w:ind w:left="-420"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https://www.gov.uk/government/publications/patent-journal-special-notices-7024 </w:t>
      </w:r>
    </w:p>
    <w:p>
      <w:pPr>
        <w:numPr>
          <w:numId w:val="0"/>
        </w:numPr>
        <w:ind w:left="-420" w:leftChars="0" w:firstLine="643" w:firstLineChars="200"/>
        <w:rPr>
          <w:rFonts w:hint="eastAsia" w:ascii="仿宋GB2312" w:hAnsi="仿宋GB2312" w:eastAsia="仿宋GB2312" w:cs="仿宋GB2312"/>
          <w:b/>
          <w:bCs/>
          <w:sz w:val="32"/>
          <w:szCs w:val="32"/>
        </w:rPr>
      </w:pPr>
      <w:r>
        <w:rPr>
          <w:rFonts w:hint="eastAsia" w:ascii="仿宋GB2312" w:hAnsi="仿宋GB2312" w:eastAsia="仿宋GB2312" w:cs="仿宋GB2312"/>
          <w:b/>
          <w:bCs/>
          <w:sz w:val="32"/>
          <w:szCs w:val="32"/>
        </w:rPr>
        <w:t xml:space="preserve">日本 </w:t>
      </w:r>
    </w:p>
    <w:p>
      <w:pPr>
        <w:numPr>
          <w:ilvl w:val="0"/>
          <w:numId w:val="0"/>
        </w:numPr>
        <w:ind w:left="-420" w:leftChars="-200" w:firstLine="838" w:firstLineChars="262"/>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日本特许厅修订《PCT 国际检索和初步审查手册》2024 年 1 月 4 日，日本特许厅（JPO）更新了其《日本特许厅 PCT 国际检索和初步审查手册》，并提供了该手册的临时英文译本。日本特许厅（JPO）于2015 年10 月首次编写了《日本特许厅 PCT 国际检索和初步审查手册》。本手册旨在提高日本特许厅作为国际检索和初步审查单位进行的检索和审查的透明度和可预测性。</w:t>
      </w:r>
    </w:p>
    <w:p>
      <w:pPr>
        <w:numPr>
          <w:numId w:val="0"/>
        </w:numPr>
        <w:ind w:left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来源：日本特许厅 </w:t>
      </w:r>
    </w:p>
    <w:p>
      <w:pPr>
        <w:numPr>
          <w:numId w:val="0"/>
        </w:numPr>
        <w:ind w:left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https://www.jpo.go.jp/e/system/patent/pct/chosa-s</w:t>
      </w:r>
    </w:p>
    <w:p>
      <w:pPr>
        <w:numPr>
          <w:numId w:val="0"/>
        </w:numPr>
        <w:ind w:left="-420" w:leftChars="-200"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hinsa/pct_handbook.html </w:t>
      </w:r>
    </w:p>
    <w:p>
      <w:pPr>
        <w:numPr>
          <w:ilvl w:val="0"/>
          <w:numId w:val="2"/>
        </w:numPr>
        <w:ind w:left="-420" w:leftChars="-200" w:firstLine="838" w:firstLineChars="262"/>
        <w:rPr>
          <w:rFonts w:hint="eastAsia" w:ascii="仿宋GB2312" w:hAnsi="仿宋GB2312" w:eastAsia="仿宋GB2312" w:cs="仿宋GB2312"/>
          <w:sz w:val="32"/>
          <w:szCs w:val="32"/>
        </w:rPr>
      </w:pPr>
      <w:r>
        <w:rPr>
          <w:rFonts w:hint="eastAsia" w:ascii="仿宋GB2312" w:hAnsi="仿宋GB2312" w:eastAsia="仿宋GB2312" w:cs="仿宋GB2312"/>
          <w:sz w:val="32"/>
          <w:szCs w:val="32"/>
        </w:rPr>
        <w:t>日本外观设计系统海外用户指南日本特许厅出版了面向海外用户外观设计制度的英文指南《成功的关键：在日本获得外观设计权》。本指南适用于熟悉本国外观设计体系，对日本外观设计体系了解不多的海外用户。特别是，它简要解释了日本外观设计制度的特点以及外观设计制度相关法律法规的最新修订，并提供了在日本提交外观设计注册申请的技巧，使用外观设计注册的实际案例和假设案例来展示用户可能犯错误的情况。</w:t>
      </w:r>
    </w:p>
    <w:p>
      <w:pPr>
        <w:numPr>
          <w:numId w:val="0"/>
        </w:numPr>
        <w:ind w:leftChars="62"/>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来源：日本特许厅 </w:t>
      </w:r>
    </w:p>
    <w:p>
      <w:pPr>
        <w:numPr>
          <w:numId w:val="0"/>
        </w:numPr>
        <w:ind w:leftChars="62"/>
        <w:rPr>
          <w:rFonts w:hint="eastAsia" w:ascii="仿宋GB2312" w:hAnsi="仿宋GB2312" w:eastAsia="仿宋GB2312" w:cs="仿宋GB2312"/>
          <w:sz w:val="32"/>
          <w:szCs w:val="32"/>
        </w:rPr>
      </w:pPr>
      <w:r>
        <w:rPr>
          <w:rFonts w:hint="eastAsia" w:ascii="仿宋GB2312" w:hAnsi="仿宋GB2312" w:eastAsia="仿宋GB2312" w:cs="仿宋GB2312"/>
          <w:sz w:val="32"/>
          <w:szCs w:val="32"/>
        </w:rPr>
        <w:t>https://www.jpo.go.jp/e/system/design/gaiyo/guidebo</w:t>
      </w:r>
    </w:p>
    <w:p>
      <w:pPr>
        <w:numPr>
          <w:numId w:val="0"/>
        </w:numPr>
        <w:ind w:left="-420" w:leftChars="-200"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ok.html </w:t>
      </w:r>
    </w:p>
    <w:p>
      <w:pPr>
        <w:numPr>
          <w:numId w:val="0"/>
        </w:numPr>
        <w:ind w:left="-420" w:leftChars="-200" w:firstLine="643" w:firstLineChars="200"/>
        <w:rPr>
          <w:rFonts w:hint="eastAsia" w:ascii="仿宋GB2312" w:hAnsi="仿宋GB2312" w:eastAsia="仿宋GB2312" w:cs="仿宋GB2312"/>
          <w:b/>
          <w:bCs/>
          <w:sz w:val="32"/>
          <w:szCs w:val="32"/>
        </w:rPr>
      </w:pPr>
      <w:r>
        <w:rPr>
          <w:rFonts w:hint="eastAsia" w:ascii="仿宋GB2312" w:hAnsi="仿宋GB2312" w:eastAsia="仿宋GB2312" w:cs="仿宋GB2312"/>
          <w:b/>
          <w:bCs/>
          <w:sz w:val="32"/>
          <w:szCs w:val="32"/>
        </w:rPr>
        <w:t xml:space="preserve">韩国 </w:t>
      </w:r>
    </w:p>
    <w:p>
      <w:pPr>
        <w:numPr>
          <w:ilvl w:val="0"/>
          <w:numId w:val="3"/>
        </w:numPr>
        <w:ind w:left="-420"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韩国特许厅发布《2024 年知识产权的易用》一书韩国特许厅（KIPO）宣布已发布《2024 年知识产权的易用》一书，对专利、商标、外观设计等知识产权从申请到审判的所有程序进行了通俗易懂的解释。小册子包含专利等知识产权概述，从申请到注册和试用的程序；知识产权各阶段所需的申请文件，如缴费、填写方法、注意事项、缴费技巧等。此外，还包括新建立或重组的知识产权制度，如商标共存协议制度、延长相关外观设计申请期限、专利收费制度等，以及 KIPO 及其附属机构支持的主要措施。</w:t>
      </w:r>
    </w:p>
    <w:p>
      <w:pPr>
        <w:numPr>
          <w:numId w:val="0"/>
        </w:numPr>
        <w:ind w:left="220" w:left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来源：韩国特许厅</w:t>
      </w:r>
    </w:p>
    <w:p>
      <w:pPr>
        <w:numPr>
          <w:numId w:val="0"/>
        </w:numPr>
        <w:ind w:left="220" w:left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https://kipo.go.kr/ko/kpoBultnDetail.do?menuCd=SCD</w:t>
      </w:r>
    </w:p>
    <w:p>
      <w:pPr>
        <w:numPr>
          <w:numId w:val="0"/>
        </w:numPr>
        <w:ind w:left="-420" w:leftChars="0"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0200618&amp;ntatcSeq=19987&amp;sysCd=SCD02&amp;aprchId=BUT0000029 </w:t>
      </w:r>
    </w:p>
    <w:p>
      <w:pPr>
        <w:numPr>
          <w:ilvl w:val="0"/>
          <w:numId w:val="3"/>
        </w:numPr>
        <w:ind w:left="-420"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韩国特许厅国际知识产权培训学院-Naver 教育中心联合开设预防线上买卖知识产权纠纷课程韩国特许厅国际知识产权培训学院和Naver 教育中心签署了《在线卖家知识产权教育合作谅解备忘录》。该谅解备忘录是韩国特许厅国际知识产权培训学院作为负责公众知识产权教育而推广的项目，旨在为预防在线买卖产权纠纷和保护小企业主的权利做出贡献。（其中大多数 是小企业主）提供有效的知识产权教育，以保护卖家的权利，并为在线市场建立健全的交易秩序做出贡献。</w:t>
      </w:r>
    </w:p>
    <w:p>
      <w:pPr>
        <w:numPr>
          <w:numId w:val="0"/>
        </w:numPr>
        <w:ind w:left="220" w:left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来源：韩国特许厅 </w:t>
      </w:r>
    </w:p>
    <w:p>
      <w:pPr>
        <w:numPr>
          <w:numId w:val="0"/>
        </w:numPr>
        <w:ind w:left="-420"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https://kipo.go.kr/ko/kpoBultnDetail.do?menuCd=SCD0200618&amp;ntatcSeq=19998&amp;sysCd=SCD02&amp;aprchId=BUT0000029 </w:t>
      </w:r>
    </w:p>
    <w:p>
      <w:pPr>
        <w:numPr>
          <w:ilvl w:val="0"/>
          <w:numId w:val="3"/>
        </w:numPr>
        <w:ind w:left="-420" w:leftChars="-20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韩国特许厅出版知识产权基础教科书《知识产权的第一步》KIPO 国际知识产权培训学院宣布将出版《知识产权的第一步》，该书可作为韩国和发展中国家知识产权教育的基础教科书。 本教材包含专利、商标、外观设计和著作权的基本和核心内容，通过涵盖申请、审查和侵权判决的基础知识以及各种示例，旨在使不具备专业知识也能轻松学习。</w:t>
      </w:r>
    </w:p>
    <w:p>
      <w:pPr>
        <w:numPr>
          <w:numId w:val="0"/>
        </w:numPr>
        <w:ind w:left="220" w:left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来源：韩国特许厅 </w:t>
      </w:r>
    </w:p>
    <w:p>
      <w:pPr>
        <w:numPr>
          <w:numId w:val="0"/>
        </w:numPr>
        <w:ind w:left="-420" w:leftChars="0" w:firstLine="640" w:firstLineChars="200"/>
        <w:rPr>
          <w:rFonts w:hint="eastAsia" w:ascii="仿宋GB2312" w:hAnsi="仿宋GB2312" w:eastAsia="仿宋GB2312" w:cs="仿宋GB2312"/>
          <w:sz w:val="32"/>
          <w:szCs w:val="32"/>
          <w:lang w:val="en-US" w:eastAsia="zh-CN"/>
        </w:rPr>
      </w:pPr>
      <w:r>
        <w:rPr>
          <w:rFonts w:hint="eastAsia" w:ascii="仿宋GB2312" w:hAnsi="仿宋GB2312" w:eastAsia="仿宋GB2312" w:cs="仿宋GB2312"/>
          <w:sz w:val="32"/>
          <w:szCs w:val="32"/>
        </w:rPr>
        <w:t xml:space="preserve">https://kipo.go.kr/ko/kpoBultnDetail.do?menuCd=SCD0200618&amp;ntatcSeq=20004&amp;sysCd=SCD02&amp;aprchId=BUT0000029 </w:t>
      </w:r>
      <w:r>
        <w:rPr>
          <w:rFonts w:hint="eastAsia" w:ascii="仿宋GB2312" w:hAnsi="仿宋GB2312" w:eastAsia="仿宋GB2312" w:cs="仿宋GB2312"/>
          <w:sz w:val="32"/>
          <w:szCs w:val="32"/>
          <w:lang w:val="en-US" w:eastAsia="zh-CN"/>
        </w:rPr>
        <w:t xml:space="preserve"> </w:t>
      </w:r>
    </w:p>
    <w:p>
      <w:pPr>
        <w:numPr>
          <w:numId w:val="0"/>
        </w:numPr>
        <w:ind w:left="-420" w:leftChars="0" w:firstLine="643" w:firstLineChars="200"/>
        <w:rPr>
          <w:rFonts w:hint="eastAsia" w:ascii="仿宋GB2312" w:hAnsi="仿宋GB2312" w:eastAsia="仿宋GB2312" w:cs="仿宋GB2312"/>
          <w:b/>
          <w:bCs/>
          <w:sz w:val="32"/>
          <w:szCs w:val="32"/>
        </w:rPr>
      </w:pPr>
      <w:r>
        <w:rPr>
          <w:rFonts w:hint="eastAsia" w:ascii="仿宋GB2312" w:hAnsi="仿宋GB2312" w:eastAsia="仿宋GB2312" w:cs="仿宋GB2312"/>
          <w:b/>
          <w:bCs/>
          <w:sz w:val="32"/>
          <w:szCs w:val="32"/>
        </w:rPr>
        <w:t xml:space="preserve">中国 </w:t>
      </w:r>
    </w:p>
    <w:p>
      <w:pPr>
        <w:numPr>
          <w:ilvl w:val="0"/>
          <w:numId w:val="4"/>
        </w:numPr>
        <w:ind w:left="-420"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《地理标志认定产品分类与代码》国家标准发布由中国国家知识产权局牵头制定的《地理标志认定产品分类与代码》（GB/T 43583-2023）推荐性国家标准于近日批 准发布并正式实施。 该项标准由国家知识管理标准化技术委员会地理标志分会（TC554SC1）归口执行，采用线分类法和分层编码方法，统筹考虑产业类别、加工工艺和生物学属性，归纳提出食用农林产品及食品、非食用农林产品、中药材、手工艺品及其他等 5 个大类，涵盖 32 个中类和52 个小类。</w:t>
      </w:r>
    </w:p>
    <w:p>
      <w:pPr>
        <w:numPr>
          <w:numId w:val="0"/>
        </w:numPr>
        <w:ind w:left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来源：国家知识产权局 </w:t>
      </w:r>
    </w:p>
    <w:p>
      <w:pPr>
        <w:numPr>
          <w:numId w:val="0"/>
        </w:numPr>
        <w:ind w:left="-420" w:leftChars="-200" w:firstLine="838" w:firstLineChars="262"/>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https://www.cnipa.gov.cn/art/2024/1/24/art_53_189951.html </w:t>
      </w:r>
    </w:p>
    <w:p>
      <w:pPr>
        <w:numPr>
          <w:numId w:val="0"/>
        </w:numPr>
        <w:ind w:left="-420" w:leftChars="-200" w:firstLine="838" w:firstLineChars="262"/>
        <w:rPr>
          <w:rFonts w:hint="eastAsia" w:ascii="仿宋GB2312" w:hAnsi="仿宋GB2312" w:eastAsia="仿宋GB2312" w:cs="仿宋GB2312"/>
          <w:sz w:val="32"/>
          <w:szCs w:val="32"/>
        </w:rPr>
      </w:pPr>
      <w:r>
        <w:rPr>
          <w:rFonts w:hint="eastAsia" w:ascii="仿宋GB2312" w:hAnsi="仿宋GB2312" w:eastAsia="仿宋GB2312" w:cs="仿宋GB2312"/>
          <w:sz w:val="32"/>
          <w:szCs w:val="32"/>
        </w:rPr>
        <w:t>2.中德专利审查高速路（PPH）试点项目延长经中国国家知识产权局和德国专利商标局共同决定，在中德PPH试点项目到期后，将该试点项目再延长三年，自2024年 1 月 23 日起，至 2027 年 1 月22 日止，参与本试点项目的要求和流程继续沿用中德 PPH 指南。</w:t>
      </w:r>
    </w:p>
    <w:p>
      <w:pPr>
        <w:numPr>
          <w:numId w:val="0"/>
        </w:numPr>
        <w:ind w:left="216" w:leftChars="103"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来源：中国国家知识产权局</w:t>
      </w:r>
    </w:p>
    <w:p>
      <w:pPr>
        <w:numPr>
          <w:numId w:val="0"/>
        </w:numPr>
        <w:ind w:left="259" w:leftChars="113" w:hanging="22" w:hangingChars="7"/>
        <w:rPr>
          <w:rFonts w:hint="eastAsia" w:ascii="仿宋GB2312" w:hAnsi="仿宋GB2312" w:eastAsia="仿宋GB2312" w:cs="仿宋GB2312"/>
          <w:sz w:val="32"/>
          <w:szCs w:val="32"/>
        </w:rPr>
      </w:pPr>
      <w:r>
        <w:rPr>
          <w:rFonts w:hint="eastAsia" w:ascii="仿宋GB2312" w:hAnsi="仿宋GB2312" w:eastAsia="仿宋GB2312" w:cs="仿宋GB2312"/>
          <w:sz w:val="32"/>
          <w:szCs w:val="32"/>
        </w:rPr>
        <w:t>https://www.cnipa.gov.cn/art/2024/1/19/art_53_1899</w:t>
      </w:r>
    </w:p>
    <w:p>
      <w:pPr>
        <w:numPr>
          <w:numId w:val="0"/>
        </w:numPr>
        <w:ind w:left="-401" w:leftChars="-200" w:hanging="19" w:hangingChars="6"/>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06.html 俄罗斯 1.俄罗斯联邦知识产权局于 2023 年6 月6 日发布的75号命令现已生效 根据 2023 年 12 月 27 日俄罗斯司法部和俄罗斯联邦知 识产权局联合发布的 394/157 号联合命令《关于废止俄罗斯司法部和俄罗斯工业与科学部于2003 年7 月17 日发布的173/178 号联合命令的规定》于2024 年1 月21 日生效，俄罗斯联邦知识产权局于 2023 年6 月6 日发布的75 号命令《关于批准科研、试验设计和军事、特殊或双重用途技术工作结果统一登记表格及其填写要求》也同时生效。从此开始，在准备用于进行军事、特殊或双重用途科研、试验设计和技术工作结果统一登记的文件时，相关部门和机构将遵循上述命令的规定。 </w:t>
      </w:r>
    </w:p>
    <w:p>
      <w:pPr>
        <w:numPr>
          <w:numId w:val="0"/>
        </w:numPr>
        <w:ind w:left="-99" w:leftChars="-47" w:firstLine="297" w:firstLineChars="93"/>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来源：俄罗斯联邦知识产权局</w:t>
      </w:r>
    </w:p>
    <w:p>
      <w:pPr>
        <w:numPr>
          <w:numId w:val="0"/>
        </w:numPr>
        <w:ind w:left="-418" w:leftChars="-199" w:firstLine="636" w:firstLineChars="199"/>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https://rospatent.gov.ru/ru/news/vstupaet-v-silu-prikaz-rospatenta-ot-6-iyunya-2023-goda-75 </w:t>
      </w:r>
    </w:p>
    <w:p>
      <w:pPr>
        <w:numPr>
          <w:numId w:val="0"/>
        </w:numPr>
        <w:ind w:left="-418" w:leftChars="-199" w:firstLine="639" w:firstLineChars="199"/>
        <w:rPr>
          <w:rFonts w:hint="eastAsia" w:ascii="仿宋GB2312" w:hAnsi="仿宋GB2312" w:eastAsia="仿宋GB2312" w:cs="仿宋GB2312"/>
          <w:sz w:val="32"/>
          <w:szCs w:val="32"/>
        </w:rPr>
      </w:pPr>
      <w:r>
        <w:rPr>
          <w:rFonts w:hint="eastAsia" w:ascii="仿宋GB2312" w:hAnsi="仿宋GB2312" w:eastAsia="仿宋GB2312" w:cs="仿宋GB2312"/>
          <w:b/>
          <w:bCs/>
          <w:sz w:val="32"/>
          <w:szCs w:val="32"/>
        </w:rPr>
        <w:t>澳大利亚</w:t>
      </w:r>
      <w:r>
        <w:rPr>
          <w:rFonts w:hint="eastAsia" w:ascii="仿宋GB2312" w:hAnsi="仿宋GB2312" w:eastAsia="仿宋GB2312" w:cs="仿宋GB2312"/>
          <w:sz w:val="32"/>
          <w:szCs w:val="32"/>
        </w:rPr>
        <w:t xml:space="preserve"> </w:t>
      </w:r>
    </w:p>
    <w:p>
      <w:pPr>
        <w:numPr>
          <w:ilvl w:val="0"/>
          <w:numId w:val="5"/>
        </w:numPr>
        <w:ind w:left="-418" w:leftChars="-199" w:firstLine="636" w:firstLineChars="199"/>
        <w:rPr>
          <w:rFonts w:hint="eastAsia" w:ascii="仿宋GB2312" w:hAnsi="仿宋GB2312" w:eastAsia="仿宋GB2312" w:cs="仿宋GB2312"/>
          <w:sz w:val="32"/>
          <w:szCs w:val="32"/>
        </w:rPr>
      </w:pPr>
      <w:r>
        <w:rPr>
          <w:rFonts w:hint="eastAsia" w:ascii="仿宋GB2312" w:hAnsi="仿宋GB2312" w:eastAsia="仿宋GB2312" w:cs="仿宋GB2312"/>
          <w:sz w:val="32"/>
          <w:szCs w:val="32"/>
        </w:rPr>
        <w:t>采用马德里商品和服务清单澳大利亚知识产权局将于2024 年用马德里商品和服务 (MGS) 清单取代当前的商标商品和服务清单（AU清单）。MGS 列表是用于对马德里体系商标申请的商品和服务进行分类的术语数据库。世界知识产权组织(WIPO) 和许多国际商标局都使用它。同时，它包含比AU 选择列表更广泛的术语。 采用 MGS 列表将使澳大利亚分类标准与国际最佳实践保持一致。这一变化将使澳大利亚出口商更容易在其他国家保护其商标</w:t>
      </w:r>
      <w:r>
        <w:rPr>
          <w:rFonts w:hint="eastAsia" w:ascii="仿宋GB2312" w:hAnsi="仿宋GB2312" w:eastAsia="仿宋GB2312" w:cs="仿宋GB2312"/>
          <w:sz w:val="32"/>
          <w:szCs w:val="32"/>
          <w:lang w:eastAsia="zh-CN"/>
        </w:rPr>
        <w:t>。</w:t>
      </w:r>
      <w:r>
        <w:rPr>
          <w:rFonts w:hint="eastAsia" w:ascii="仿宋GB2312" w:hAnsi="仿宋GB2312" w:eastAsia="仿宋GB2312" w:cs="仿宋GB2312"/>
          <w:sz w:val="32"/>
          <w:szCs w:val="32"/>
        </w:rPr>
        <w:t xml:space="preserve"> </w:t>
      </w:r>
    </w:p>
    <w:p>
      <w:pPr>
        <w:numPr>
          <w:numId w:val="0"/>
        </w:numPr>
        <w:ind w:left="218" w:left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来源：澳大利亚知识产权局 </w:t>
      </w:r>
    </w:p>
    <w:p>
      <w:pPr>
        <w:numPr>
          <w:numId w:val="0"/>
        </w:numPr>
        <w:ind w:left="-420"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rPr>
        <w:t>https://www.ipaustralia.gov.au/news-and-community/news/adopting-the-madrid-goods-and-services-list</w:t>
      </w:r>
    </w:p>
    <w:p>
      <w:pPr>
        <w:numPr>
          <w:numId w:val="0"/>
        </w:numPr>
        <w:ind w:left="-420" w:leftChars="0" w:firstLine="643" w:firstLineChars="200"/>
        <w:rPr>
          <w:rFonts w:hint="eastAsia" w:ascii="仿宋GB2312" w:hAnsi="仿宋GB2312" w:eastAsia="仿宋GB2312" w:cs="仿宋GB2312"/>
          <w:sz w:val="32"/>
          <w:szCs w:val="32"/>
        </w:rPr>
      </w:pPr>
      <w:r>
        <w:rPr>
          <w:rFonts w:hint="eastAsia" w:ascii="仿宋GB2312" w:hAnsi="仿宋GB2312" w:eastAsia="仿宋GB2312" w:cs="仿宋GB2312"/>
          <w:b/>
          <w:bCs/>
          <w:sz w:val="32"/>
          <w:szCs w:val="32"/>
        </w:rPr>
        <w:t>巴西</w:t>
      </w:r>
      <w:r>
        <w:rPr>
          <w:rFonts w:hint="eastAsia" w:ascii="仿宋GB2312" w:hAnsi="仿宋GB2312" w:eastAsia="仿宋GB2312" w:cs="仿宋GB2312"/>
          <w:sz w:val="32"/>
          <w:szCs w:val="32"/>
        </w:rPr>
        <w:t xml:space="preserve"> </w:t>
      </w:r>
    </w:p>
    <w:p>
      <w:pPr>
        <w:numPr>
          <w:numId w:val="0"/>
        </w:numPr>
        <w:ind w:left="-420" w:leftChars="0" w:firstLine="640" w:firstLineChars="200"/>
        <w:rPr>
          <w:rFonts w:hint="eastAsia" w:ascii="仿宋GB2312" w:hAnsi="仿宋GB2312" w:eastAsia="仿宋GB2312" w:cs="仿宋GB2312"/>
          <w:sz w:val="32"/>
          <w:szCs w:val="32"/>
        </w:rPr>
      </w:pPr>
      <w:r>
        <w:rPr>
          <w:rFonts w:hint="eastAsia" w:ascii="仿宋GB2312" w:hAnsi="仿宋GB2312" w:eastAsia="仿宋GB2312" w:cs="仿宋GB2312"/>
          <w:sz w:val="32"/>
          <w:szCs w:val="32"/>
          <w:lang w:val="en-US" w:eastAsia="zh-CN"/>
        </w:rPr>
        <w:t>1.</w:t>
      </w:r>
      <w:r>
        <w:rPr>
          <w:rFonts w:hint="eastAsia" w:ascii="仿宋GB2312" w:hAnsi="仿宋GB2312" w:eastAsia="仿宋GB2312" w:cs="仿宋GB2312"/>
          <w:sz w:val="32"/>
          <w:szCs w:val="32"/>
        </w:rPr>
        <w:t xml:space="preserve">巴西国家工业产权局发布铌专利研究报告巴西国家工业产权局于 1 月22 日星期一发布了研究报告《铌技术：巴西专利申请全景》。除了对巴西提交的所有铌专利申请进行一般分析外，雷达还提供了针对居民提交的专利申请的分析，旨在确定该国已开发的技术。 </w:t>
      </w:r>
    </w:p>
    <w:p>
      <w:pPr>
        <w:numPr>
          <w:ilvl w:val="0"/>
          <w:numId w:val="0"/>
        </w:numPr>
        <w:ind w:left="218" w:left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来源：巴西国家工业产权局 </w:t>
      </w:r>
    </w:p>
    <w:p>
      <w:pPr>
        <w:numPr>
          <w:numId w:val="0"/>
        </w:numPr>
        <w:ind w:left="218" w:leftChars="104"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https://www.gov.br/inpi/pt-br/central-de-conteudo/</w:t>
      </w:r>
    </w:p>
    <w:p>
      <w:pPr>
        <w:numPr>
          <w:numId w:val="0"/>
        </w:numPr>
        <w:ind w:left="-420" w:leftChars="-200" w:firstLine="0"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noticias/inpi-divulga-estudo-sobre-patenteamento-deniobio-no-brasil </w:t>
      </w:r>
    </w:p>
    <w:p>
      <w:pPr>
        <w:numPr>
          <w:ilvl w:val="0"/>
          <w:numId w:val="5"/>
        </w:numPr>
        <w:ind w:left="-418" w:leftChars="-199" w:firstLine="636" w:firstLineChars="199"/>
        <w:rPr>
          <w:rFonts w:hint="eastAsia" w:ascii="仿宋GB2312" w:hAnsi="仿宋GB2312" w:eastAsia="仿宋GB2312" w:cs="仿宋GB2312"/>
          <w:sz w:val="32"/>
          <w:szCs w:val="32"/>
        </w:rPr>
      </w:pPr>
      <w:r>
        <w:rPr>
          <w:rFonts w:hint="eastAsia" w:ascii="仿宋GB2312" w:hAnsi="仿宋GB2312" w:eastAsia="仿宋GB2312" w:cs="仿宋GB2312"/>
          <w:sz w:val="32"/>
          <w:szCs w:val="32"/>
        </w:rPr>
        <w:t>巴西国家工业产权局对来自Mandirituba 市的洋甘菊进行地理标志认定 巴西国家工业产权局于 2024 年1 月23 日在《工业产权杂志》(RPI) 上发表了对产自Mandirituba 市的脱水洋甘菊的地理标志(GI)原产地标志(IP)的认定。这是今年获得认可的第一个地理标志。 通过此次注册，INPI（巴西国家工业产权局）的地理标志达到 120 个，其中 86 个是原产地标志（均为国内）和 34 个原产地名称（25 个国内和9 个国外）。</w:t>
      </w:r>
    </w:p>
    <w:p>
      <w:pPr>
        <w:numPr>
          <w:numId w:val="0"/>
        </w:numPr>
        <w:ind w:left="218" w:left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来源：巴西国家工业产权局 </w:t>
      </w:r>
    </w:p>
    <w:p>
      <w:pPr>
        <w:numPr>
          <w:numId w:val="0"/>
        </w:numPr>
        <w:ind w:left="-402" w:leftChars="0" w:firstLine="617" w:firstLineChars="193"/>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https://www.gov.br/inpi/pt-br/central-de-conteudo/noticias/inpi-reconhece-primeira-ig-de-2024-camomila-de-mandirituba-pr </w:t>
      </w:r>
    </w:p>
    <w:p>
      <w:pPr>
        <w:numPr>
          <w:numId w:val="0"/>
        </w:numPr>
        <w:ind w:left="-402" w:leftChars="0" w:firstLine="617" w:firstLineChars="193"/>
        <w:rPr>
          <w:rFonts w:hint="eastAsia" w:ascii="仿宋GB2312" w:hAnsi="仿宋GB2312" w:eastAsia="仿宋GB2312" w:cs="仿宋GB2312"/>
          <w:sz w:val="32"/>
          <w:szCs w:val="32"/>
        </w:rPr>
      </w:pPr>
      <w:r>
        <w:rPr>
          <w:rFonts w:hint="eastAsia" w:ascii="仿宋GB2312" w:hAnsi="仿宋GB2312" w:eastAsia="仿宋GB2312" w:cs="仿宋GB2312"/>
          <w:sz w:val="32"/>
          <w:szCs w:val="32"/>
        </w:rPr>
        <w:t>3.2023 年巴西专利和商标申请量增长巴西国家工业产权局发布了工业产权月报。与2022年相比，专利（+2.9%）、商标（+6.4%）、计算机程序（+16.1%）和地理标志（+22.7%）增长。技术合同（-16.9%）和工业品外观设计（-2.0%）的申请有所下降。提交发明专利申请最多的国家包括美国（30%）、巴西（20%）、中国（7%）、德国（6%）和瑞士（5%）。 在居民发明专利申请 4971 件中，个人占34%。在387,310件商标存量中，亮点是 MEI、微型企业和EPP（51%）。</w:t>
      </w:r>
    </w:p>
    <w:p>
      <w:pPr>
        <w:numPr>
          <w:numId w:val="0"/>
        </w:numPr>
        <w:ind w:left="-402" w:leftChars="0" w:firstLine="617" w:firstLineChars="193"/>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来源：巴西国家工业产权局 </w:t>
      </w:r>
    </w:p>
    <w:p>
      <w:pPr>
        <w:numPr>
          <w:numId w:val="0"/>
        </w:numPr>
        <w:ind w:left="-402" w:leftChars="0" w:firstLine="617" w:firstLineChars="193"/>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https://www.gov.br/inpi/pt-br/central-de-conteudo/noticias/depositos-de-patentes-e-marcas-cresceram-em-2023-no-brasil </w:t>
      </w:r>
    </w:p>
    <w:p>
      <w:pPr>
        <w:numPr>
          <w:numId w:val="0"/>
        </w:numPr>
        <w:ind w:left="-402" w:leftChars="0" w:firstLine="620" w:firstLineChars="193"/>
        <w:rPr>
          <w:rFonts w:hint="eastAsia" w:ascii="仿宋GB2312" w:hAnsi="仿宋GB2312" w:eastAsia="仿宋GB2312" w:cs="仿宋GB2312"/>
          <w:b/>
          <w:bCs/>
          <w:sz w:val="32"/>
          <w:szCs w:val="32"/>
        </w:rPr>
      </w:pPr>
      <w:r>
        <w:rPr>
          <w:rFonts w:hint="eastAsia" w:ascii="仿宋GB2312" w:hAnsi="仿宋GB2312" w:eastAsia="仿宋GB2312" w:cs="仿宋GB2312"/>
          <w:b/>
          <w:bCs/>
          <w:sz w:val="32"/>
          <w:szCs w:val="32"/>
        </w:rPr>
        <w:t xml:space="preserve">以色列 </w:t>
      </w:r>
    </w:p>
    <w:p>
      <w:pPr>
        <w:numPr>
          <w:ilvl w:val="0"/>
          <w:numId w:val="6"/>
        </w:numPr>
        <w:ind w:left="-402" w:leftChars="0" w:firstLine="617" w:firstLineChars="193"/>
        <w:rPr>
          <w:rFonts w:hint="eastAsia" w:ascii="仿宋GB2312" w:hAnsi="仿宋GB2312" w:eastAsia="仿宋GB2312" w:cs="仿宋GB2312"/>
          <w:sz w:val="32"/>
          <w:szCs w:val="32"/>
        </w:rPr>
      </w:pPr>
      <w:r>
        <w:rPr>
          <w:rFonts w:hint="eastAsia" w:ascii="仿宋GB2312" w:hAnsi="仿宋GB2312" w:eastAsia="仿宋GB2312" w:cs="仿宋GB2312"/>
          <w:sz w:val="32"/>
          <w:szCs w:val="32"/>
        </w:rPr>
        <w:t>以色列专利局更新商标注册中的商品分类以色列专利局发布了《商标条例(修订)》，5754-2023。这项修正案涉及货物分类清单，以便使其适应尼斯分类的变化，并将于 2024 年 1 月 1 日生效。</w:t>
      </w:r>
    </w:p>
    <w:p>
      <w:pPr>
        <w:numPr>
          <w:numId w:val="0"/>
        </w:numPr>
        <w:ind w:leftChars="193"/>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来源：以色列专利局 </w:t>
      </w:r>
    </w:p>
    <w:p>
      <w:pPr>
        <w:numPr>
          <w:numId w:val="0"/>
        </w:numPr>
        <w:ind w:left="-414" w:leftChars="-197" w:firstLine="819" w:firstLineChars="256"/>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https://www.gov.il/he/departments/news/niceclassificationupdate </w:t>
      </w:r>
    </w:p>
    <w:p>
      <w:pPr>
        <w:numPr>
          <w:numId w:val="0"/>
        </w:numPr>
        <w:ind w:left="-414" w:leftChars="-197" w:firstLine="822" w:firstLineChars="256"/>
        <w:rPr>
          <w:rFonts w:hint="eastAsia" w:ascii="仿宋GB2312" w:hAnsi="仿宋GB2312" w:eastAsia="仿宋GB2312" w:cs="仿宋GB2312"/>
          <w:sz w:val="32"/>
          <w:szCs w:val="32"/>
        </w:rPr>
      </w:pPr>
      <w:r>
        <w:rPr>
          <w:rFonts w:hint="eastAsia" w:ascii="仿宋GB2312" w:hAnsi="仿宋GB2312" w:eastAsia="仿宋GB2312" w:cs="仿宋GB2312"/>
          <w:b/>
          <w:bCs/>
          <w:sz w:val="32"/>
          <w:szCs w:val="32"/>
        </w:rPr>
        <w:t>越南</w:t>
      </w:r>
      <w:r>
        <w:rPr>
          <w:rFonts w:hint="eastAsia" w:ascii="仿宋GB2312" w:hAnsi="仿宋GB2312" w:eastAsia="仿宋GB2312" w:cs="仿宋GB2312"/>
          <w:sz w:val="32"/>
          <w:szCs w:val="32"/>
        </w:rPr>
        <w:t xml:space="preserve"> </w:t>
      </w:r>
    </w:p>
    <w:p>
      <w:pPr>
        <w:numPr>
          <w:ilvl w:val="0"/>
          <w:numId w:val="7"/>
        </w:numPr>
        <w:ind w:left="-414" w:leftChars="-197" w:firstLine="819" w:firstLineChars="256"/>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越南“防止恶意商标注册申请的措施”研讨会越南国家知识产权局与欧美国专利商标局、盟知识产权局、中国国家知识产权局、日本特许厅、韩国特许厅在河内举行会议。本次会议由日本特许厅主持，委托曼谷日本贸易振兴机构与国家知识产权局协调组织。参会各方分享了处理恶意申请的经验。 </w:t>
      </w:r>
    </w:p>
    <w:p>
      <w:pPr>
        <w:numPr>
          <w:numId w:val="0"/>
        </w:numPr>
        <w:ind w:left="204" w:leftChars="97" w:firstLine="16" w:firstLineChars="5"/>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来源：越南知识产权局 </w:t>
      </w:r>
    </w:p>
    <w:p>
      <w:pPr>
        <w:numPr>
          <w:numId w:val="0"/>
        </w:numPr>
        <w:ind w:left="214" w:leftChars="102" w:firstLine="4" w:firstLineChars="0"/>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www.ipvietnam.gov.vn/web/guest/hoat-ong-shcn-trong-nuoc/-/asset_publisher/7xsjBfqhCDAV/content/hoi-thao-bien-phap-phong-chong-on-ang-ky-nhan-hieu-voi-dung-y-xau-cua-nhom-tm5-danh-cho-viet-nam?inheritRedirect=false&amp;redirect=https%3A%2F%2Fwww.ipvietnam.gov.vn%2Fweb%2Fguest%2Fhoat-ong-shcn-trong-nuoc %3Fp_p_id%3D101_INSTANCE_7xsjBfqhCDAV%26p_p_lifecycle%3D0%26p_p_state%3Dnormal%26p_p_mode%3Dview%26p_p_col_id%3Dcolumn-1%26p_p_col_count%3D1 </w:t>
      </w:r>
    </w:p>
    <w:p>
      <w:pPr>
        <w:numPr>
          <w:numId w:val="0"/>
        </w:numPr>
        <w:ind w:left="214" w:leftChars="102" w:firstLine="643" w:firstLineChars="200"/>
        <w:rPr>
          <w:rFonts w:hint="eastAsia" w:ascii="仿宋GB2312" w:hAnsi="仿宋GB2312" w:eastAsia="仿宋GB2312" w:cs="仿宋GB2312"/>
          <w:b/>
          <w:bCs/>
          <w:sz w:val="32"/>
          <w:szCs w:val="32"/>
        </w:rPr>
      </w:pPr>
      <w:r>
        <w:rPr>
          <w:rFonts w:hint="eastAsia" w:ascii="仿宋GB2312" w:hAnsi="仿宋GB2312" w:eastAsia="仿宋GB2312" w:cs="仿宋GB2312"/>
          <w:b/>
          <w:bCs/>
          <w:sz w:val="32"/>
          <w:szCs w:val="32"/>
        </w:rPr>
        <w:t xml:space="preserve">印度尼西亚 </w:t>
      </w:r>
    </w:p>
    <w:p>
      <w:pPr>
        <w:numPr>
          <w:ilvl w:val="0"/>
          <w:numId w:val="8"/>
        </w:numPr>
        <w:ind w:left="214" w:leftChars="102" w:firstLine="640" w:firstLineChars="200"/>
        <w:rPr>
          <w:rFonts w:hint="eastAsia" w:ascii="仿宋GB2312" w:hAnsi="仿宋GB2312" w:eastAsia="仿宋GB2312" w:cs="仿宋GB2312"/>
          <w:sz w:val="32"/>
          <w:szCs w:val="32"/>
          <w:lang w:eastAsia="zh-CN"/>
        </w:rPr>
      </w:pPr>
      <w:r>
        <w:rPr>
          <w:rFonts w:hint="eastAsia" w:ascii="仿宋GB2312" w:hAnsi="仿宋GB2312" w:eastAsia="仿宋GB2312" w:cs="仿宋GB2312"/>
          <w:sz w:val="32"/>
          <w:szCs w:val="32"/>
        </w:rPr>
        <w:t>印度尼西亚知识产权总局（DJKI）与韩国和国际刑警组织一起行动，打击在印度尼西亚的知识产权侵犯行为雅加达-印度尼西亚知识产权总局（DJKI）作为印度尼西亚知识产权侵权的执法机构之一，参与处理涉嫌侵犯版权领域的刑事案件，该案件涉及韩国公民在印度尼西亚的行为，即通过 IPTV（Internet Protocol Television）以商业方式传播和复制作品，该行为已于2023 年5 月正式向DJKI报案</w:t>
      </w:r>
      <w:r>
        <w:rPr>
          <w:rFonts w:hint="eastAsia" w:ascii="仿宋GB2312" w:hAnsi="仿宋GB2312" w:eastAsia="仿宋GB2312" w:cs="仿宋GB2312"/>
          <w:sz w:val="32"/>
          <w:szCs w:val="32"/>
          <w:lang w:eastAsia="zh-CN"/>
        </w:rPr>
        <w:t>。</w:t>
      </w:r>
    </w:p>
    <w:p>
      <w:pPr>
        <w:numPr>
          <w:numId w:val="0"/>
        </w:numPr>
        <w:ind w:left="218" w:leftChars="104" w:firstLine="617" w:firstLineChars="193"/>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来源：印度尼西亚知识产权总局</w:t>
      </w:r>
    </w:p>
    <w:p>
      <w:pPr>
        <w:numPr>
          <w:numId w:val="0"/>
        </w:numPr>
        <w:ind w:left="218" w:leftChars="104" w:firstLine="617" w:firstLineChars="193"/>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https://dgip.go.id/artikel/detail-artikel/bersama-korea-dan-interpol-djki-tindak-pelaku-pelanggaran-ki-di-indonesia?kategori=agenda-ki </w:t>
      </w:r>
    </w:p>
    <w:p>
      <w:pPr>
        <w:numPr>
          <w:numId w:val="0"/>
        </w:numPr>
        <w:ind w:left="218" w:leftChars="104" w:firstLine="617" w:firstLineChars="193"/>
        <w:rPr>
          <w:rFonts w:hint="eastAsia" w:ascii="仿宋GB2312" w:hAnsi="仿宋GB2312" w:eastAsia="仿宋GB2312" w:cs="仿宋GB2312"/>
          <w:sz w:val="32"/>
          <w:szCs w:val="32"/>
        </w:rPr>
      </w:pPr>
      <w:r>
        <w:rPr>
          <w:rFonts w:hint="eastAsia" w:ascii="仿宋GB2312" w:hAnsi="仿宋GB2312" w:eastAsia="仿宋GB2312" w:cs="仿宋GB2312"/>
          <w:sz w:val="32"/>
          <w:szCs w:val="32"/>
        </w:rPr>
        <w:t xml:space="preserve">2.2024 年工作行动计划 为了推进善治或良好治理的实施，知识产权总局于2024年 1 月 2 日星期二在 Sentra Mulia 大楼召开了内部会议，以讨论 2024 年活动的实施和宣布行动计划。会议讨论了知识产权总局（DJKI）内设工作小组（pokja）的设立等事项。在此次机会中，各部门就 2024 年工作小组的实施系统提出 了意见和建议。 </w:t>
      </w:r>
    </w:p>
    <w:p>
      <w:pPr>
        <w:numPr>
          <w:numId w:val="0"/>
        </w:numPr>
        <w:ind w:left="216" w:leftChars="103" w:firstLine="620" w:firstLineChars="194"/>
        <w:rPr>
          <w:rFonts w:hint="eastAsia" w:ascii="仿宋GB2312" w:hAnsi="仿宋GB2312" w:eastAsia="仿宋GB2312" w:cs="仿宋GB2312"/>
          <w:sz w:val="32"/>
          <w:szCs w:val="32"/>
        </w:rPr>
      </w:pPr>
      <w:r>
        <w:rPr>
          <w:rFonts w:hint="eastAsia" w:ascii="仿宋GB2312" w:hAnsi="仿宋GB2312" w:eastAsia="仿宋GB2312" w:cs="仿宋GB2312"/>
          <w:sz w:val="32"/>
          <w:szCs w:val="32"/>
        </w:rPr>
        <w:t>来源：印度尼西亚知识产权总局</w:t>
      </w:r>
    </w:p>
    <w:p>
      <w:pPr>
        <w:numPr>
          <w:numId w:val="0"/>
        </w:numPr>
        <w:ind w:left="216" w:leftChars="103" w:firstLine="620" w:firstLineChars="194"/>
        <w:rPr>
          <w:rFonts w:hint="eastAsia" w:ascii="仿宋GB2312" w:hAnsi="仿宋GB2312" w:eastAsia="仿宋GB2312" w:cs="仿宋GB2312"/>
          <w:sz w:val="32"/>
          <w:szCs w:val="32"/>
        </w:rPr>
      </w:pPr>
      <w:r>
        <w:rPr>
          <w:rFonts w:hint="eastAsia" w:ascii="仿宋GB2312" w:hAnsi="仿宋GB2312" w:eastAsia="仿宋GB2312" w:cs="仿宋GB2312"/>
          <w:sz w:val="32"/>
          <w:szCs w:val="32"/>
        </w:rPr>
        <w:t>https://dgip.go.id/artikel/detail-artikel/sesditjen-ki-canangkan-aksi-kerja-tahun-2024?kategori=agenda-ki</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华文新魏">
    <w:panose1 w:val="02010800040101010101"/>
    <w:charset w:val="86"/>
    <w:family w:val="auto"/>
    <w:pitch w:val="default"/>
    <w:sig w:usb0="00000001" w:usb1="080F0000" w:usb2="00000000" w:usb3="00000000" w:csb0="00040000" w:csb1="00000000"/>
  </w:font>
  <w:font w:name="仿宋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 w:name="华文行楷">
    <w:panose1 w:val="02010800040101010101"/>
    <w:charset w:val="86"/>
    <w:family w:val="auto"/>
    <w:pitch w:val="default"/>
    <w:sig w:usb0="00000001" w:usb1="080F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91692AF9"/>
    <w:multiLevelType w:val="singleLevel"/>
    <w:tmpl w:val="91692AF9"/>
    <w:lvl w:ilvl="0" w:tentative="0">
      <w:start w:val="2"/>
      <w:numFmt w:val="decimal"/>
      <w:lvlText w:val="%1."/>
      <w:lvlJc w:val="left"/>
      <w:pPr>
        <w:tabs>
          <w:tab w:val="left" w:pos="312"/>
        </w:tabs>
      </w:pPr>
    </w:lvl>
  </w:abstractNum>
  <w:abstractNum w:abstractNumId="1">
    <w:nsid w:val="0852F150"/>
    <w:multiLevelType w:val="singleLevel"/>
    <w:tmpl w:val="0852F150"/>
    <w:lvl w:ilvl="0" w:tentative="0">
      <w:start w:val="1"/>
      <w:numFmt w:val="decimal"/>
      <w:lvlText w:val="%1."/>
      <w:lvlJc w:val="left"/>
      <w:pPr>
        <w:tabs>
          <w:tab w:val="left" w:pos="312"/>
        </w:tabs>
      </w:pPr>
    </w:lvl>
  </w:abstractNum>
  <w:abstractNum w:abstractNumId="2">
    <w:nsid w:val="0FFB5ADC"/>
    <w:multiLevelType w:val="singleLevel"/>
    <w:tmpl w:val="0FFB5ADC"/>
    <w:lvl w:ilvl="0" w:tentative="0">
      <w:start w:val="1"/>
      <w:numFmt w:val="decimal"/>
      <w:lvlText w:val="%1."/>
      <w:lvlJc w:val="left"/>
      <w:pPr>
        <w:tabs>
          <w:tab w:val="left" w:pos="312"/>
        </w:tabs>
      </w:pPr>
    </w:lvl>
  </w:abstractNum>
  <w:abstractNum w:abstractNumId="3">
    <w:nsid w:val="2D948C20"/>
    <w:multiLevelType w:val="singleLevel"/>
    <w:tmpl w:val="2D948C20"/>
    <w:lvl w:ilvl="0" w:tentative="0">
      <w:start w:val="1"/>
      <w:numFmt w:val="decimal"/>
      <w:lvlText w:val="%1."/>
      <w:lvlJc w:val="left"/>
      <w:pPr>
        <w:tabs>
          <w:tab w:val="left" w:pos="312"/>
        </w:tabs>
      </w:pPr>
    </w:lvl>
  </w:abstractNum>
  <w:abstractNum w:abstractNumId="4">
    <w:nsid w:val="453B4946"/>
    <w:multiLevelType w:val="singleLevel"/>
    <w:tmpl w:val="453B4946"/>
    <w:lvl w:ilvl="0" w:tentative="0">
      <w:start w:val="1"/>
      <w:numFmt w:val="decimal"/>
      <w:lvlText w:val="%1."/>
      <w:lvlJc w:val="left"/>
      <w:pPr>
        <w:tabs>
          <w:tab w:val="left" w:pos="312"/>
        </w:tabs>
      </w:pPr>
    </w:lvl>
  </w:abstractNum>
  <w:abstractNum w:abstractNumId="5">
    <w:nsid w:val="6B986BAE"/>
    <w:multiLevelType w:val="singleLevel"/>
    <w:tmpl w:val="6B986BAE"/>
    <w:lvl w:ilvl="0" w:tentative="0">
      <w:start w:val="1"/>
      <w:numFmt w:val="decimal"/>
      <w:lvlText w:val="%1."/>
      <w:lvlJc w:val="left"/>
      <w:pPr>
        <w:tabs>
          <w:tab w:val="left" w:pos="312"/>
        </w:tabs>
      </w:pPr>
    </w:lvl>
  </w:abstractNum>
  <w:abstractNum w:abstractNumId="6">
    <w:nsid w:val="7D445CCA"/>
    <w:multiLevelType w:val="singleLevel"/>
    <w:tmpl w:val="7D445CCA"/>
    <w:lvl w:ilvl="0" w:tentative="0">
      <w:start w:val="1"/>
      <w:numFmt w:val="decimal"/>
      <w:lvlText w:val="%1."/>
      <w:lvlJc w:val="left"/>
      <w:pPr>
        <w:tabs>
          <w:tab w:val="left" w:pos="312"/>
        </w:tabs>
      </w:pPr>
    </w:lvl>
  </w:abstractNum>
  <w:abstractNum w:abstractNumId="7">
    <w:nsid w:val="7E3194AF"/>
    <w:multiLevelType w:val="singleLevel"/>
    <w:tmpl w:val="7E3194AF"/>
    <w:lvl w:ilvl="0" w:tentative="0">
      <w:start w:val="1"/>
      <w:numFmt w:val="decimal"/>
      <w:lvlText w:val="%1."/>
      <w:lvlJc w:val="left"/>
      <w:pPr>
        <w:tabs>
          <w:tab w:val="left" w:pos="312"/>
        </w:tabs>
      </w:pPr>
    </w:lvl>
  </w:abstractNum>
  <w:num w:numId="1">
    <w:abstractNumId w:val="4"/>
  </w:num>
  <w:num w:numId="2">
    <w:abstractNumId w:val="0"/>
  </w:num>
  <w:num w:numId="3">
    <w:abstractNumId w:val="5"/>
  </w:num>
  <w:num w:numId="4">
    <w:abstractNumId w:val="2"/>
  </w:num>
  <w:num w:numId="5">
    <w:abstractNumId w:val="7"/>
  </w:num>
  <w:num w:numId="6">
    <w:abstractNumId w:val="3"/>
  </w:num>
  <w:num w:numId="7">
    <w:abstractNumId w:val="6"/>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9"/>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8D512D"/>
    <w:rsid w:val="1F544A4E"/>
    <w:rsid w:val="22750506"/>
    <w:rsid w:val="4299376B"/>
    <w:rsid w:val="4B5B0BE8"/>
    <w:rsid w:val="594632CC"/>
    <w:rsid w:val="6A650185"/>
    <w:rsid w:val="709E684D"/>
    <w:rsid w:val="71E05600"/>
    <w:rsid w:val="739478BD"/>
    <w:rsid w:val="75FF3FD6"/>
    <w:rsid w:val="76EE5554"/>
    <w:rsid w:val="7A88291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30</TotalTime>
  <ScaleCrop>false</ScaleCrop>
  <LinksUpToDate>false</LinksUpToDate>
  <CharactersWithSpaces>0</CharactersWithSpaces>
  <Application>WPS Office_11.8.2.8959_F1E327BC-269C-435d-A152-05C5408002CA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2024-04-30T02:19:16Z</dcterms:created>
  <dc:creator>Lenovo</dc:creator>
  <cp:lastModifiedBy>Lenovo</cp:lastModifiedBy>
  <dcterms:modified xsi:type="dcterms:W3CDTF">2024-04-30T02:50:01Z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2052-11.8.2.8959</vt:lpwstr>
  </property>
</Properties>
</file>