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bCs/>
          <w:sz w:val="32"/>
          <w:szCs w:val="32"/>
        </w:rPr>
      </w:pPr>
      <w:r>
        <w:rPr>
          <w:rFonts w:hint="eastAsia" w:ascii="黑体" w:hAnsi="黑体" w:eastAsia="黑体" w:cs="黑体"/>
          <w:b/>
          <w:bCs/>
          <w:sz w:val="32"/>
          <w:szCs w:val="32"/>
        </w:rPr>
        <w:t>附件</w:t>
      </w:r>
    </w:p>
    <w:p>
      <w:pPr>
        <w:rPr>
          <w:rFonts w:hint="eastAsia" w:ascii="黑体" w:hAnsi="黑体" w:eastAsia="黑体" w:cs="黑体"/>
          <w:b/>
          <w:bCs/>
          <w:sz w:val="32"/>
          <w:szCs w:val="32"/>
        </w:rPr>
      </w:pPr>
      <w:bookmarkStart w:id="0" w:name="_GoBack"/>
      <w:bookmarkEnd w:id="0"/>
    </w:p>
    <w:p>
      <w:pPr>
        <w:ind w:firstLine="643" w:firstLineChars="200"/>
        <w:rPr>
          <w:rFonts w:hint="eastAsia" w:ascii="仿宋GB2312" w:hAnsi="仿宋GB2312" w:eastAsia="仿宋GB2312" w:cs="仿宋GB2312"/>
          <w:b/>
          <w:bCs/>
          <w:sz w:val="32"/>
          <w:szCs w:val="32"/>
        </w:rPr>
      </w:pPr>
      <w:r>
        <w:rPr>
          <w:rFonts w:hint="eastAsia" w:ascii="仿宋GB2312" w:hAnsi="仿宋GB2312" w:eastAsia="仿宋GB2312" w:cs="仿宋GB2312"/>
          <w:b/>
          <w:bCs/>
          <w:sz w:val="32"/>
          <w:szCs w:val="32"/>
        </w:rPr>
        <w:t xml:space="preserve">世界知识产权组织 </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1.</w:t>
      </w:r>
      <w:r>
        <w:rPr>
          <w:rFonts w:hint="eastAsia" w:ascii="仿宋GB2312" w:hAnsi="仿宋GB2312" w:eastAsia="仿宋GB2312" w:cs="仿宋GB2312"/>
          <w:sz w:val="32"/>
          <w:szCs w:val="32"/>
        </w:rPr>
        <w:t>吉布提加入《里斯本协定日内瓦文本》</w:t>
      </w:r>
    </w:p>
    <w:p>
      <w:pPr>
        <w:numPr>
          <w:ilvl w:val="0"/>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吉布提共和国政府交存了《原产地名称和地理标志里斯本协定日内瓦文本》（“日内瓦文本”）的加入书。这一加入将使吉布提的生产者和其他感兴趣的利益攸关方能够快速、轻松地获得对其原产地产品独特名称的国际保护，例如来自阿萨尔湖的盐，以及来自吉布提的著名熏香和香料等。</w:t>
      </w:r>
    </w:p>
    <w:p>
      <w:pPr>
        <w:numPr>
          <w:ilvl w:val="0"/>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《日内瓦文本》将于 2024 年5 月13 日对吉布提生效。</w:t>
      </w:r>
    </w:p>
    <w:p>
      <w:pPr>
        <w:numPr>
          <w:ilvl w:val="0"/>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来源：WIPO 官方网站 </w:t>
      </w:r>
    </w:p>
    <w:p>
      <w:pPr>
        <w:numPr>
          <w:ilvl w:val="0"/>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"https://www.wipo.int/lisbon/en/news/2024/news_0001.html" </w:instrText>
      </w:r>
      <w:r>
        <w:rPr>
          <w:rFonts w:hint="eastAsia" w:ascii="仿宋GB2312" w:hAnsi="仿宋GB2312" w:eastAsia="仿宋GB2312" w:cs="仿宋GB2312"/>
          <w:sz w:val="32"/>
          <w:szCs w:val="32"/>
        </w:rPr>
        <w:fldChar w:fldCharType="separate"/>
      </w:r>
      <w:r>
        <w:rPr>
          <w:rStyle w:val="4"/>
          <w:rFonts w:hint="eastAsia" w:ascii="仿宋GB2312" w:hAnsi="仿宋GB2312" w:eastAsia="仿宋GB2312" w:cs="仿宋GB2312"/>
          <w:sz w:val="32"/>
          <w:szCs w:val="32"/>
        </w:rPr>
        <w:t>https://www.wipo.int/lisbon/en/news/2024/news_0001.html</w:t>
      </w:r>
      <w:r>
        <w:rPr>
          <w:rFonts w:hint="eastAsia" w:ascii="仿宋GB2312" w:hAnsi="仿宋GB2312" w:eastAsia="仿宋GB2312" w:cs="仿宋GB2312"/>
          <w:sz w:val="32"/>
          <w:szCs w:val="32"/>
        </w:rPr>
        <w:fldChar w:fldCharType="end"/>
      </w:r>
    </w:p>
    <w:p>
      <w:pPr>
        <w:numPr>
          <w:numId w:val="0"/>
        </w:numPr>
        <w:ind w:leftChars="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2.</w:t>
      </w:r>
      <w:r>
        <w:rPr>
          <w:rFonts w:hint="eastAsia" w:ascii="仿宋GB2312" w:hAnsi="仿宋GB2312" w:eastAsia="仿宋GB2312" w:cs="仿宋GB2312"/>
          <w:sz w:val="32"/>
          <w:szCs w:val="32"/>
        </w:rPr>
        <w:t>WIPO 与 SARIMA 签署谅解备忘录</w:t>
      </w:r>
    </w:p>
    <w:p>
      <w:pPr>
        <w:numPr>
          <w:ilvl w:val="0"/>
          <w:numId w:val="0"/>
        </w:numPr>
        <w:ind w:leftChars="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WIPO 和 SARIMA 签署了一份谅解备忘录（MOU），正式确立了合作关系。谅解备忘录概述了主要目标和联合倡议，包括提高认识、提供培训、交流信息、推广机制、活动和服务，以及加强南部非洲发展共同体（SADC）地区的技术转让办公室（TTO）网络。 </w:t>
      </w:r>
    </w:p>
    <w:p>
      <w:pPr>
        <w:numPr>
          <w:ilvl w:val="0"/>
          <w:numId w:val="0"/>
        </w:numPr>
        <w:ind w:leftChars="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来源：WIPO 官方网站</w:t>
      </w:r>
    </w:p>
    <w:p>
      <w:pPr>
        <w:numPr>
          <w:ilvl w:val="0"/>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"https://www.wipo.int/technology-transfer/en/news/2024/news_0001.html" </w:instrText>
      </w:r>
      <w:r>
        <w:rPr>
          <w:rFonts w:hint="eastAsia" w:ascii="仿宋GB2312" w:hAnsi="仿宋GB2312" w:eastAsia="仿宋GB2312" w:cs="仿宋GB2312"/>
          <w:sz w:val="32"/>
          <w:szCs w:val="32"/>
        </w:rPr>
        <w:fldChar w:fldCharType="separate"/>
      </w:r>
      <w:r>
        <w:rPr>
          <w:rStyle w:val="4"/>
          <w:rFonts w:hint="eastAsia" w:ascii="仿宋GB2312" w:hAnsi="仿宋GB2312" w:eastAsia="仿宋GB2312" w:cs="仿宋GB2312"/>
          <w:sz w:val="32"/>
          <w:szCs w:val="32"/>
        </w:rPr>
        <w:t>https://www.wipo.int/technology-transfer/en/news/2024/news_0001.html</w:t>
      </w:r>
      <w:r>
        <w:rPr>
          <w:rFonts w:hint="eastAsia" w:ascii="仿宋GB2312" w:hAnsi="仿宋GB2312" w:eastAsia="仿宋GB2312" w:cs="仿宋GB2312"/>
          <w:sz w:val="32"/>
          <w:szCs w:val="32"/>
        </w:rPr>
        <w:fldChar w:fldCharType="end"/>
      </w:r>
    </w:p>
    <w:p>
      <w:pPr>
        <w:numPr>
          <w:ilvl w:val="0"/>
          <w:numId w:val="0"/>
        </w:numPr>
        <w:ind w:firstLine="640" w:firstLineChars="200"/>
        <w:rPr>
          <w:rFonts w:hint="eastAsia" w:ascii="仿宋GB2312" w:hAnsi="仿宋GB2312" w:eastAsia="仿宋GB2312" w:cs="仿宋GB2312"/>
          <w:sz w:val="32"/>
          <w:szCs w:val="32"/>
        </w:rPr>
      </w:pPr>
    </w:p>
    <w:p>
      <w:pPr>
        <w:numPr>
          <w:ilvl w:val="0"/>
          <w:numId w:val="0"/>
        </w:numPr>
        <w:ind w:firstLine="643" w:firstLineChars="200"/>
        <w:rPr>
          <w:rFonts w:hint="eastAsia" w:ascii="仿宋GB2312" w:hAnsi="仿宋GB2312" w:eastAsia="仿宋GB2312" w:cs="仿宋GB2312"/>
          <w:sz w:val="32"/>
          <w:szCs w:val="32"/>
        </w:rPr>
      </w:pPr>
      <w:r>
        <w:rPr>
          <w:rFonts w:hint="eastAsia" w:ascii="仿宋GB2312" w:hAnsi="仿宋GB2312" w:eastAsia="仿宋GB2312" w:cs="仿宋GB2312"/>
          <w:b/>
          <w:bCs/>
          <w:sz w:val="32"/>
          <w:szCs w:val="32"/>
        </w:rPr>
        <w:t>美国</w:t>
      </w:r>
      <w:r>
        <w:rPr>
          <w:rFonts w:hint="eastAsia" w:ascii="仿宋GB2312" w:hAnsi="仿宋GB2312" w:eastAsia="仿宋GB2312" w:cs="仿宋GB2312"/>
          <w:sz w:val="32"/>
          <w:szCs w:val="32"/>
        </w:rPr>
        <w:t xml:space="preserve"> </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1.</w:t>
      </w:r>
      <w:r>
        <w:rPr>
          <w:rFonts w:hint="eastAsia" w:ascii="仿宋GB2312" w:hAnsi="仿宋GB2312" w:eastAsia="仿宋GB2312" w:cs="仿宋GB2312"/>
          <w:sz w:val="32"/>
          <w:szCs w:val="32"/>
        </w:rPr>
        <w:t xml:space="preserve">美国商会全球创新政策中心（GIPC）发布《2024 年国际知识产权指数报告（第 12 版） </w:t>
      </w:r>
    </w:p>
    <w:p>
      <w:pPr>
        <w:numPr>
          <w:ilvl w:val="0"/>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该报告通过 50 个指标对全球55 个主要经济体的知识产权（IP）框架进行了评估，研究显示：20 个经济体的总体得分有所提高。排名前五的国家分别是美国（95.48%）、英国（94.12%）、法国（93.12%）、德国（92.46%）和瑞典（92.12%）。中国排名第 22 位。沙特阿拉伯（+6.04%）、巴西（+4.50%）和尼日利亚（+3.00%）的总体得分提高幅度最大，展示了政策驱动的创新投资。27 个经济体的得分保持不变，有8个经济体的总分有所下降。排名靠前的经济体几乎没有任何变化，报告呼吁美欧重新确立 IP 政策领域的领导地位。</w:t>
      </w:r>
    </w:p>
    <w:p>
      <w:pPr>
        <w:numPr>
          <w:ilvl w:val="0"/>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来源：美国商会全球创新政策中心</w:t>
      </w:r>
    </w:p>
    <w:p>
      <w:pPr>
        <w:numPr>
          <w:ilvl w:val="0"/>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"https://www.uschamber.com/intellectual-property/2024-ip-index" </w:instrText>
      </w:r>
      <w:r>
        <w:rPr>
          <w:rFonts w:hint="eastAsia" w:ascii="仿宋GB2312" w:hAnsi="仿宋GB2312" w:eastAsia="仿宋GB2312" w:cs="仿宋GB2312"/>
          <w:sz w:val="32"/>
          <w:szCs w:val="32"/>
        </w:rPr>
        <w:fldChar w:fldCharType="separate"/>
      </w:r>
      <w:r>
        <w:rPr>
          <w:rStyle w:val="4"/>
          <w:rFonts w:hint="eastAsia" w:ascii="仿宋GB2312" w:hAnsi="仿宋GB2312" w:eastAsia="仿宋GB2312" w:cs="仿宋GB2312"/>
          <w:sz w:val="32"/>
          <w:szCs w:val="32"/>
        </w:rPr>
        <w:t>https://www.uschamber.com/intellectual-property/2024-ip-index</w:t>
      </w:r>
      <w:r>
        <w:rPr>
          <w:rFonts w:hint="eastAsia" w:ascii="仿宋GB2312" w:hAnsi="仿宋GB2312" w:eastAsia="仿宋GB2312" w:cs="仿宋GB2312"/>
          <w:sz w:val="32"/>
          <w:szCs w:val="32"/>
        </w:rPr>
        <w:fldChar w:fldCharType="end"/>
      </w:r>
    </w:p>
    <w:p>
      <w:pPr>
        <w:numPr>
          <w:numId w:val="0"/>
        </w:numPr>
        <w:ind w:leftChars="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2.</w:t>
      </w:r>
      <w:r>
        <w:rPr>
          <w:rFonts w:hint="eastAsia" w:ascii="仿宋GB2312" w:hAnsi="仿宋GB2312" w:eastAsia="仿宋GB2312" w:cs="仿宋GB2312"/>
          <w:sz w:val="32"/>
          <w:szCs w:val="32"/>
        </w:rPr>
        <w:t xml:space="preserve">美国版权局提议对二维艺术品进行新的团体注册程序美国版权局发布了一份拟议规则制定通知，以创建一个用于注册已出版的二维艺术品的组选项。要获得此选项的资格，每件作品必须是二维图片或图形作品，均由同一作者创作，并且作者必须被指定为每件作品的版权主张人。作品必须在三十天内出版，每次提交最多可以包含十件作品。申请人将被要求完成在线申请，并将每件作品的电子副本上传到 电子注册系统。 </w:t>
      </w:r>
    </w:p>
    <w:p>
      <w:pPr>
        <w:numPr>
          <w:ilvl w:val="0"/>
          <w:numId w:val="0"/>
        </w:numPr>
        <w:ind w:left="638" w:leftChars="304" w:firstLine="0"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来源：美国专利商标局 </w:t>
      </w:r>
    </w:p>
    <w:p>
      <w:pPr>
        <w:numPr>
          <w:ilvl w:val="0"/>
          <w:numId w:val="0"/>
        </w:numPr>
        <w:ind w:left="638" w:leftChars="304" w:firstLine="0" w:firstLineChars="0"/>
        <w:rPr>
          <w:rStyle w:val="4"/>
          <w:rFonts w:hint="eastAsia" w:ascii="仿宋GB2312" w:hAnsi="仿宋GB2312" w:eastAsia="仿宋GB2312" w:cs="仿宋GB2312"/>
          <w:sz w:val="32"/>
          <w:szCs w:val="32"/>
        </w:rPr>
      </w:pP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"https://www.copyright.gov/newsnet/2024/1037.html" </w:instrText>
      </w:r>
      <w:r>
        <w:rPr>
          <w:rFonts w:hint="eastAsia" w:ascii="仿宋GB2312" w:hAnsi="仿宋GB2312" w:eastAsia="仿宋GB2312" w:cs="仿宋GB2312"/>
          <w:sz w:val="32"/>
          <w:szCs w:val="32"/>
        </w:rPr>
        <w:fldChar w:fldCharType="separate"/>
      </w:r>
      <w:r>
        <w:rPr>
          <w:rStyle w:val="4"/>
          <w:rFonts w:hint="eastAsia" w:ascii="仿宋GB2312" w:hAnsi="仿宋GB2312" w:eastAsia="仿宋GB2312" w:cs="仿宋GB2312"/>
          <w:sz w:val="32"/>
          <w:szCs w:val="32"/>
        </w:rPr>
        <w:t>https://www.copyright.gov/newsnet/2024/1037.htm</w:t>
      </w:r>
    </w:p>
    <w:p>
      <w:pPr>
        <w:numPr>
          <w:ilvl w:val="0"/>
          <w:numId w:val="0"/>
        </w:numPr>
        <w:rPr>
          <w:rFonts w:hint="eastAsia" w:ascii="仿宋GB2312" w:hAnsi="仿宋GB2312" w:eastAsia="仿宋GB2312" w:cs="仿宋GB2312"/>
          <w:sz w:val="32"/>
          <w:szCs w:val="32"/>
        </w:rPr>
      </w:pPr>
      <w:r>
        <w:rPr>
          <w:rStyle w:val="4"/>
          <w:rFonts w:hint="eastAsia" w:ascii="仿宋GB2312" w:hAnsi="仿宋GB2312" w:eastAsia="仿宋GB2312" w:cs="仿宋GB2312"/>
          <w:sz w:val="32"/>
          <w:szCs w:val="32"/>
        </w:rPr>
        <w:t>l</w:t>
      </w:r>
      <w:r>
        <w:rPr>
          <w:rFonts w:hint="eastAsia" w:ascii="仿宋GB2312" w:hAnsi="仿宋GB2312" w:eastAsia="仿宋GB2312" w:cs="仿宋GB2312"/>
          <w:sz w:val="32"/>
          <w:szCs w:val="32"/>
        </w:rPr>
        <w:fldChar w:fldCharType="end"/>
      </w:r>
    </w:p>
    <w:p>
      <w:pPr>
        <w:numPr>
          <w:ilvl w:val="0"/>
          <w:numId w:val="0"/>
        </w:numPr>
        <w:rPr>
          <w:rFonts w:hint="eastAsia" w:ascii="仿宋GB2312" w:hAnsi="仿宋GB2312" w:eastAsia="仿宋GB2312" w:cs="仿宋GB2312"/>
          <w:sz w:val="32"/>
          <w:szCs w:val="32"/>
        </w:rPr>
      </w:pPr>
    </w:p>
    <w:p>
      <w:pPr>
        <w:numPr>
          <w:ilvl w:val="0"/>
          <w:numId w:val="0"/>
        </w:numPr>
        <w:ind w:leftChars="0" w:firstLine="643" w:firstLineChars="200"/>
        <w:rPr>
          <w:rFonts w:hint="eastAsia" w:ascii="仿宋GB2312" w:hAnsi="仿宋GB2312" w:eastAsia="仿宋GB2312" w:cs="仿宋GB2312"/>
          <w:sz w:val="32"/>
          <w:szCs w:val="32"/>
        </w:rPr>
      </w:pPr>
      <w:r>
        <w:rPr>
          <w:rFonts w:hint="eastAsia" w:ascii="仿宋GB2312" w:hAnsi="仿宋GB2312" w:eastAsia="仿宋GB2312" w:cs="仿宋GB2312"/>
          <w:b/>
          <w:bCs/>
          <w:sz w:val="32"/>
          <w:szCs w:val="32"/>
        </w:rPr>
        <w:t>德国</w:t>
      </w:r>
      <w:r>
        <w:rPr>
          <w:rFonts w:hint="eastAsia" w:ascii="仿宋GB2312" w:hAnsi="仿宋GB2312" w:eastAsia="仿宋GB2312" w:cs="仿宋GB2312"/>
          <w:sz w:val="32"/>
          <w:szCs w:val="32"/>
        </w:rPr>
        <w:t xml:space="preserve"> </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1.</w:t>
      </w:r>
      <w:r>
        <w:rPr>
          <w:rFonts w:hint="eastAsia" w:ascii="仿宋GB2312" w:hAnsi="仿宋GB2312" w:eastAsia="仿宋GB2312" w:cs="仿宋GB2312"/>
          <w:sz w:val="32"/>
          <w:szCs w:val="32"/>
        </w:rPr>
        <w:t>德国专利商标局发布知识产权最新信息</w:t>
      </w:r>
    </w:p>
    <w:p>
      <w:pPr>
        <w:numPr>
          <w:ilvl w:val="0"/>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德国专利商标局（DPMA）在其提供的知识产权信息中增加了一项重要内容：除专利、实用新型、商标和外观设计外，DPMA 今后还将提供有关版权的信息，并将在最新的手册中阐述这一重要问题，包括解释如何不侵犯他人的版权。</w:t>
      </w:r>
    </w:p>
    <w:p>
      <w:pPr>
        <w:numPr>
          <w:ilvl w:val="0"/>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来源：德国专利商标局 </w:t>
      </w:r>
    </w:p>
    <w:p>
      <w:pPr>
        <w:numPr>
          <w:ilvl w:val="0"/>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"https://www.dpma.de/service/presse/pressemittei" </w:instrText>
      </w:r>
      <w:r>
        <w:rPr>
          <w:rFonts w:hint="eastAsia" w:ascii="仿宋GB2312" w:hAnsi="仿宋GB2312" w:eastAsia="仿宋GB2312" w:cs="仿宋GB2312"/>
          <w:sz w:val="32"/>
          <w:szCs w:val="32"/>
        </w:rPr>
        <w:fldChar w:fldCharType="separate"/>
      </w:r>
      <w:r>
        <w:rPr>
          <w:rStyle w:val="4"/>
          <w:rFonts w:hint="eastAsia" w:ascii="仿宋GB2312" w:hAnsi="仿宋GB2312" w:eastAsia="仿宋GB2312" w:cs="仿宋GB2312"/>
          <w:sz w:val="32"/>
          <w:szCs w:val="32"/>
        </w:rPr>
        <w:t>https://www.dpma.de/service/presse/pressemittei</w:t>
      </w:r>
      <w:r>
        <w:rPr>
          <w:rFonts w:hint="eastAsia" w:ascii="仿宋GB2312" w:hAnsi="仿宋GB2312" w:eastAsia="仿宋GB2312" w:cs="仿宋GB2312"/>
          <w:sz w:val="32"/>
          <w:szCs w:val="32"/>
        </w:rPr>
        <w:fldChar w:fldCharType="end"/>
      </w:r>
    </w:p>
    <w:p>
      <w:pPr>
        <w:numPr>
          <w:ilvl w:val="0"/>
          <w:numId w:val="0"/>
        </w:numPr>
        <w:rPr>
          <w:rStyle w:val="4"/>
          <w:rFonts w:hint="eastAsia" w:ascii="仿宋GB2312" w:hAnsi="仿宋GB2312" w:eastAsia="仿宋GB2312" w:cs="仿宋GB2312"/>
          <w:color w:val="0000FF"/>
          <w:sz w:val="32"/>
          <w:szCs w:val="32"/>
        </w:rPr>
      </w:pPr>
      <w:r>
        <w:rPr>
          <w:rStyle w:val="4"/>
          <w:rFonts w:hint="eastAsia" w:ascii="仿宋GB2312" w:hAnsi="仿宋GB2312" w:eastAsia="仿宋GB2312" w:cs="仿宋GB2312"/>
          <w:color w:val="0000FF"/>
          <w:sz w:val="32"/>
          <w:szCs w:val="32"/>
        </w:rPr>
        <w:t>lungen/07022024/index.html</w:t>
      </w:r>
    </w:p>
    <w:p>
      <w:pPr>
        <w:numPr>
          <w:ilvl w:val="0"/>
          <w:numId w:val="0"/>
        </w:numPr>
        <w:rPr>
          <w:rStyle w:val="4"/>
          <w:rFonts w:hint="eastAsia" w:ascii="仿宋GB2312" w:hAnsi="仿宋GB2312" w:eastAsia="仿宋GB2312" w:cs="仿宋GB2312"/>
          <w:color w:val="0000FF"/>
          <w:sz w:val="32"/>
          <w:szCs w:val="32"/>
        </w:rPr>
      </w:pPr>
    </w:p>
    <w:p>
      <w:pPr>
        <w:numPr>
          <w:ilvl w:val="0"/>
          <w:numId w:val="0"/>
        </w:numPr>
        <w:ind w:firstLine="643" w:firstLineChars="200"/>
        <w:rPr>
          <w:rFonts w:hint="eastAsia" w:ascii="仿宋GB2312" w:hAnsi="仿宋GB2312" w:eastAsia="仿宋GB2312" w:cs="仿宋GB2312"/>
          <w:sz w:val="32"/>
          <w:szCs w:val="32"/>
        </w:rPr>
      </w:pPr>
      <w:r>
        <w:rPr>
          <w:rFonts w:hint="eastAsia" w:ascii="仿宋GB2312" w:hAnsi="仿宋GB2312" w:eastAsia="仿宋GB2312" w:cs="仿宋GB2312"/>
          <w:b/>
          <w:bCs/>
          <w:sz w:val="32"/>
          <w:szCs w:val="32"/>
        </w:rPr>
        <w:t>日本</w:t>
      </w:r>
      <w:r>
        <w:rPr>
          <w:rFonts w:hint="eastAsia" w:ascii="仿宋GB2312" w:hAnsi="仿宋GB2312" w:eastAsia="仿宋GB2312" w:cs="仿宋GB2312"/>
          <w:sz w:val="32"/>
          <w:szCs w:val="32"/>
        </w:rPr>
        <w:t xml:space="preserve"> </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1.</w:t>
      </w:r>
      <w:r>
        <w:rPr>
          <w:rFonts w:hint="eastAsia" w:ascii="仿宋GB2312" w:hAnsi="仿宋GB2312" w:eastAsia="仿宋GB2312" w:cs="仿宋GB2312"/>
          <w:sz w:val="32"/>
          <w:szCs w:val="32"/>
        </w:rPr>
        <w:t>日本特许厅与世界知识产权组织签署《支持中小企业、初创企业和企业家领域的合作声明》</w:t>
      </w:r>
    </w:p>
    <w:p>
      <w:pPr>
        <w:numPr>
          <w:ilvl w:val="0"/>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日本专利局和世界知识产权组织签署了《支持中小企业、初创企业和企业家领域的合作声明》，并同意世界知识产权组织和日本特许厅将共同努力，加强在支持发展中国家的中小企业、初创企业和企业家方面的合作。这是产权组织首次与其成员国签署合作声明，通过自愿捐款支持全球范围内的 中小企业和初创企业。 </w:t>
      </w:r>
    </w:p>
    <w:p>
      <w:pPr>
        <w:numPr>
          <w:ilvl w:val="0"/>
          <w:numId w:val="0"/>
        </w:numPr>
        <w:ind w:left="638" w:leftChars="304" w:firstLine="0"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来源：日本特许厅 </w:t>
      </w:r>
    </w:p>
    <w:p>
      <w:pPr>
        <w:numPr>
          <w:ilvl w:val="0"/>
          <w:numId w:val="0"/>
        </w:numPr>
        <w:ind w:left="638" w:leftChars="304" w:firstLine="0" w:firstLineChars="0"/>
        <w:rPr>
          <w:rStyle w:val="4"/>
          <w:rFonts w:hint="eastAsia" w:ascii="仿宋GB2312" w:hAnsi="仿宋GB2312" w:eastAsia="仿宋GB2312" w:cs="仿宋GB2312"/>
          <w:sz w:val="32"/>
          <w:szCs w:val="32"/>
        </w:rPr>
      </w:pP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"https://www.jpo.go.jp/e/system/patent/pct/chosa-shinsa/pct_handbook.html" </w:instrText>
      </w:r>
      <w:r>
        <w:rPr>
          <w:rFonts w:hint="eastAsia" w:ascii="仿宋GB2312" w:hAnsi="仿宋GB2312" w:eastAsia="仿宋GB2312" w:cs="仿宋GB2312"/>
          <w:sz w:val="32"/>
          <w:szCs w:val="32"/>
        </w:rPr>
        <w:fldChar w:fldCharType="separate"/>
      </w:r>
      <w:r>
        <w:rPr>
          <w:rStyle w:val="4"/>
          <w:rFonts w:hint="eastAsia" w:ascii="仿宋GB2312" w:hAnsi="仿宋GB2312" w:eastAsia="仿宋GB2312" w:cs="仿宋GB2312"/>
          <w:sz w:val="32"/>
          <w:szCs w:val="32"/>
        </w:rPr>
        <w:t>https://www.jpo.go.jp/e/system/patent/pct/chosa</w:t>
      </w:r>
    </w:p>
    <w:p>
      <w:pPr>
        <w:numPr>
          <w:ilvl w:val="0"/>
          <w:numId w:val="0"/>
        </w:numPr>
        <w:rPr>
          <w:rFonts w:hint="eastAsia" w:ascii="仿宋GB2312" w:hAnsi="仿宋GB2312" w:eastAsia="仿宋GB2312" w:cs="仿宋GB2312"/>
          <w:sz w:val="32"/>
          <w:szCs w:val="32"/>
        </w:rPr>
      </w:pPr>
      <w:r>
        <w:rPr>
          <w:rStyle w:val="4"/>
          <w:rFonts w:hint="eastAsia" w:ascii="仿宋GB2312" w:hAnsi="仿宋GB2312" w:eastAsia="仿宋GB2312" w:cs="仿宋GB2312"/>
          <w:sz w:val="32"/>
          <w:szCs w:val="32"/>
        </w:rPr>
        <w:t>-shinsa/pct_handbook.html</w:t>
      </w:r>
      <w:r>
        <w:rPr>
          <w:rFonts w:hint="eastAsia" w:ascii="仿宋GB2312" w:hAnsi="仿宋GB2312" w:eastAsia="仿宋GB2312" w:cs="仿宋GB2312"/>
          <w:sz w:val="32"/>
          <w:szCs w:val="32"/>
        </w:rPr>
        <w:fldChar w:fldCharType="end"/>
      </w:r>
    </w:p>
    <w:p>
      <w:pPr>
        <w:numPr>
          <w:ilvl w:val="0"/>
          <w:numId w:val="0"/>
        </w:numPr>
        <w:rPr>
          <w:rFonts w:hint="eastAsia" w:ascii="仿宋GB2312" w:hAnsi="仿宋GB2312" w:eastAsia="仿宋GB2312" w:cs="仿宋GB2312"/>
          <w:sz w:val="32"/>
          <w:szCs w:val="32"/>
        </w:rPr>
      </w:pPr>
    </w:p>
    <w:p>
      <w:pPr>
        <w:numPr>
          <w:ilvl w:val="0"/>
          <w:numId w:val="0"/>
        </w:numPr>
        <w:ind w:firstLine="643" w:firstLineChars="200"/>
        <w:rPr>
          <w:rFonts w:hint="eastAsia" w:ascii="仿宋GB2312" w:hAnsi="仿宋GB2312" w:eastAsia="仿宋GB2312" w:cs="仿宋GB2312"/>
          <w:sz w:val="32"/>
          <w:szCs w:val="32"/>
        </w:rPr>
      </w:pPr>
      <w:r>
        <w:rPr>
          <w:rFonts w:hint="eastAsia" w:ascii="仿宋GB2312" w:hAnsi="仿宋GB2312" w:eastAsia="仿宋GB2312" w:cs="仿宋GB2312"/>
          <w:b/>
          <w:bCs/>
          <w:sz w:val="32"/>
          <w:szCs w:val="32"/>
        </w:rPr>
        <w:t>韩国</w:t>
      </w:r>
      <w:r>
        <w:rPr>
          <w:rFonts w:hint="eastAsia" w:ascii="仿宋GB2312" w:hAnsi="仿宋GB2312" w:eastAsia="仿宋GB2312" w:cs="仿宋GB2312"/>
          <w:sz w:val="32"/>
          <w:szCs w:val="32"/>
        </w:rPr>
        <w:t xml:space="preserve"> </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1.</w:t>
      </w:r>
      <w:r>
        <w:rPr>
          <w:rFonts w:hint="eastAsia" w:ascii="仿宋GB2312" w:hAnsi="仿宋GB2312" w:eastAsia="仿宋GB2312" w:cs="仿宋GB2312"/>
          <w:sz w:val="32"/>
          <w:szCs w:val="32"/>
        </w:rPr>
        <w:t>最新《专利申请手册》基本修订版出版</w:t>
      </w:r>
    </w:p>
    <w:p>
      <w:pPr>
        <w:numPr>
          <w:ilvl w:val="0"/>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韩国特许厅（KIPO）专利审判和上诉委员会宣布出版新修订版《专利申请手册》，该手册是审判工作的重要参考资料。该手册包含专利、实用新型、商标和外观设计审判的程序和判决标准，不仅可供法官使用，也可供面临专利纠纷的个人、公司和代理人使用。修订版（第14 版）反映了实践中的变化和制度上的改进，包括详细解释了新引入的专家法官、调解和及时提交的程序和方法，以及口头听证、案件简报、证据审查的修订。为便于在实践中积极使用，还增加了特别上诉庭的操作指南和判决日期通知系统，并介绍了近期法院判决和判例的重要实例。</w:t>
      </w:r>
    </w:p>
    <w:p>
      <w:pPr>
        <w:numPr>
          <w:ilvl w:val="0"/>
          <w:numId w:val="0"/>
        </w:numPr>
        <w:ind w:left="638" w:leftChars="304" w:firstLine="0"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来源：韩国特许厅</w:t>
      </w:r>
    </w:p>
    <w:p>
      <w:pPr>
        <w:numPr>
          <w:ilvl w:val="0"/>
          <w:numId w:val="0"/>
        </w:numPr>
        <w:ind w:left="638" w:leftChars="304" w:firstLine="0"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"https://kipo.go.kr/ko/kpoBultnDetail.do?menuCd=" </w:instrText>
      </w:r>
      <w:r>
        <w:rPr>
          <w:rFonts w:hint="eastAsia" w:ascii="仿宋GB2312" w:hAnsi="仿宋GB2312" w:eastAsia="仿宋GB2312" w:cs="仿宋GB2312"/>
          <w:sz w:val="32"/>
          <w:szCs w:val="32"/>
        </w:rPr>
        <w:fldChar w:fldCharType="separate"/>
      </w:r>
      <w:r>
        <w:rPr>
          <w:rStyle w:val="4"/>
          <w:rFonts w:hint="eastAsia" w:ascii="仿宋GB2312" w:hAnsi="仿宋GB2312" w:eastAsia="仿宋GB2312" w:cs="仿宋GB2312"/>
          <w:sz w:val="32"/>
          <w:szCs w:val="32"/>
        </w:rPr>
        <w:t>https://kipo.go.kr/ko/kpoBultnDetail.do?menuCd=</w:t>
      </w:r>
      <w:r>
        <w:rPr>
          <w:rFonts w:hint="eastAsia" w:ascii="仿宋GB2312" w:hAnsi="仿宋GB2312" w:eastAsia="仿宋GB2312" w:cs="仿宋GB2312"/>
          <w:sz w:val="32"/>
          <w:szCs w:val="32"/>
        </w:rPr>
        <w:fldChar w:fldCharType="end"/>
      </w:r>
    </w:p>
    <w:p>
      <w:pPr>
        <w:numPr>
          <w:ilvl w:val="0"/>
          <w:numId w:val="0"/>
        </w:numPr>
        <w:rPr>
          <w:rStyle w:val="4"/>
          <w:rFonts w:hint="eastAsia" w:ascii="仿宋GB2312" w:hAnsi="仿宋GB2312" w:eastAsia="仿宋GB2312" w:cs="仿宋GB2312"/>
          <w:color w:val="0000FF"/>
          <w:sz w:val="32"/>
          <w:szCs w:val="32"/>
        </w:rPr>
      </w:pPr>
      <w:r>
        <w:rPr>
          <w:rStyle w:val="4"/>
          <w:rFonts w:hint="eastAsia" w:ascii="仿宋GB2312" w:hAnsi="仿宋GB2312" w:eastAsia="仿宋GB2312" w:cs="仿宋GB2312"/>
          <w:color w:val="0000FF"/>
          <w:sz w:val="32"/>
          <w:szCs w:val="32"/>
        </w:rPr>
        <w:t xml:space="preserve">SCD0200618&amp;ntatcSeq=20018&amp;sysCd=SCD02&amp;aprchId=BUT0000029 </w:t>
      </w:r>
    </w:p>
    <w:p>
      <w:pPr>
        <w:numPr>
          <w:ilvl w:val="0"/>
          <w:numId w:val="0"/>
        </w:numPr>
        <w:rPr>
          <w:rStyle w:val="4"/>
          <w:rFonts w:hint="eastAsia" w:ascii="仿宋GB2312" w:hAnsi="仿宋GB2312" w:eastAsia="仿宋GB2312" w:cs="仿宋GB2312"/>
          <w:color w:val="0000FF"/>
          <w:sz w:val="32"/>
          <w:szCs w:val="32"/>
        </w:rPr>
      </w:pPr>
    </w:p>
    <w:p>
      <w:pPr>
        <w:numPr>
          <w:ilvl w:val="0"/>
          <w:numId w:val="0"/>
        </w:numPr>
        <w:ind w:firstLine="643" w:firstLineChars="200"/>
        <w:rPr>
          <w:rFonts w:hint="eastAsia" w:ascii="仿宋GB2312" w:hAnsi="仿宋GB2312" w:eastAsia="仿宋GB2312" w:cs="仿宋GB2312"/>
          <w:b/>
          <w:bCs/>
          <w:sz w:val="32"/>
          <w:szCs w:val="32"/>
        </w:rPr>
      </w:pPr>
      <w:r>
        <w:rPr>
          <w:rFonts w:hint="eastAsia" w:ascii="仿宋GB2312" w:hAnsi="仿宋GB2312" w:eastAsia="仿宋GB2312" w:cs="仿宋GB2312"/>
          <w:b/>
          <w:bCs/>
          <w:sz w:val="32"/>
          <w:szCs w:val="32"/>
        </w:rPr>
        <w:t xml:space="preserve">俄罗斯 </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1.</w:t>
      </w:r>
      <w:r>
        <w:rPr>
          <w:rFonts w:hint="eastAsia" w:ascii="仿宋GB2312" w:hAnsi="仿宋GB2312" w:eastAsia="仿宋GB2312" w:cs="仿宋GB2312"/>
          <w:sz w:val="32"/>
          <w:szCs w:val="32"/>
        </w:rPr>
        <w:t>WIPO 专利合作条约工作组扩大语言制度并引入数字服务</w:t>
      </w:r>
    </w:p>
    <w:p>
      <w:pPr>
        <w:numPr>
          <w:ilvl w:val="0"/>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俄罗斯联邦知识产权局参加2024 年2 月19 日至21日举行的世界知识产权组织（WIPO）专利合作条约（PCT）工作组第十七次会议。会议议程上的关键问题是对《PCT实施细则》的修改，将国际局与申请人和国家局沟通的语言数量扩大到 10 种国际公布语言（包括俄语）。该修正案已获得工作组批准，并提交将于今年 7 月举行的PCT 联盟大会批准。</w:t>
      </w:r>
    </w:p>
    <w:p>
      <w:pPr>
        <w:numPr>
          <w:ilvl w:val="0"/>
          <w:numId w:val="0"/>
        </w:numPr>
        <w:ind w:left="638" w:leftChars="304" w:firstLine="0"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来源：俄罗斯联邦知识产权局</w:t>
      </w:r>
    </w:p>
    <w:p>
      <w:pPr>
        <w:numPr>
          <w:ilvl w:val="0"/>
          <w:numId w:val="0"/>
        </w:numPr>
        <w:ind w:left="638" w:leftChars="304" w:firstLine="0"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"https://rospatent.gov.ru/ru/news/vois-22022024" </w:instrText>
      </w:r>
      <w:r>
        <w:rPr>
          <w:rFonts w:hint="eastAsia" w:ascii="仿宋GB2312" w:hAnsi="仿宋GB2312" w:eastAsia="仿宋GB2312" w:cs="仿宋GB2312"/>
          <w:sz w:val="32"/>
          <w:szCs w:val="32"/>
        </w:rPr>
        <w:fldChar w:fldCharType="separate"/>
      </w:r>
      <w:r>
        <w:rPr>
          <w:rStyle w:val="4"/>
          <w:rFonts w:hint="eastAsia" w:ascii="仿宋GB2312" w:hAnsi="仿宋GB2312" w:eastAsia="仿宋GB2312" w:cs="仿宋GB2312"/>
          <w:sz w:val="32"/>
          <w:szCs w:val="32"/>
        </w:rPr>
        <w:t>https://rospatent.gov.ru/ru/news/vois-22022024</w:t>
      </w:r>
      <w:r>
        <w:rPr>
          <w:rFonts w:hint="eastAsia" w:ascii="仿宋GB2312" w:hAnsi="仿宋GB2312" w:eastAsia="仿宋GB2312" w:cs="仿宋GB2312"/>
          <w:sz w:val="32"/>
          <w:szCs w:val="32"/>
        </w:rPr>
        <w:fldChar w:fldCharType="end"/>
      </w:r>
    </w:p>
    <w:p>
      <w:pPr>
        <w:numPr>
          <w:numId w:val="0"/>
        </w:numPr>
        <w:ind w:leftChars="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2.</w:t>
      </w:r>
      <w:r>
        <w:rPr>
          <w:rFonts w:hint="eastAsia" w:ascii="仿宋GB2312" w:hAnsi="仿宋GB2312" w:eastAsia="仿宋GB2312" w:cs="仿宋GB2312"/>
          <w:sz w:val="32"/>
          <w:szCs w:val="32"/>
        </w:rPr>
        <w:t>俄罗斯联邦知识产权局参加国际法律论坛</w:t>
      </w:r>
    </w:p>
    <w:p>
      <w:pPr>
        <w:numPr>
          <w:ilvl w:val="0"/>
          <w:numId w:val="0"/>
        </w:numPr>
        <w:ind w:leftChars="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第十二届国际法律论坛"知识产权的法律保护：理论与实践问题"（IP Forum）在 O.E. Kutafin 大学（MSU）校址举行。俄罗斯和外国大学的科学家，科学组织的雇员、国家机构的代表、执业律师、知识产权法领域的其他专家，环境专家，学生讨论互联网的法律规范。</w:t>
      </w:r>
    </w:p>
    <w:p>
      <w:pPr>
        <w:numPr>
          <w:ilvl w:val="0"/>
          <w:numId w:val="0"/>
        </w:numPr>
        <w:ind w:leftChars="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来源：俄罗斯联邦知识产权局</w:t>
      </w:r>
    </w:p>
    <w:p>
      <w:pPr>
        <w:numPr>
          <w:ilvl w:val="0"/>
          <w:numId w:val="0"/>
        </w:numPr>
        <w:ind w:leftChars="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"https://rospatent.gov.ru/ru/news/rospatent-16022024" </w:instrText>
      </w:r>
      <w:r>
        <w:rPr>
          <w:rFonts w:hint="eastAsia" w:ascii="仿宋GB2312" w:hAnsi="仿宋GB2312" w:eastAsia="仿宋GB2312" w:cs="仿宋GB2312"/>
          <w:sz w:val="32"/>
          <w:szCs w:val="32"/>
        </w:rPr>
        <w:fldChar w:fldCharType="separate"/>
      </w:r>
      <w:r>
        <w:rPr>
          <w:rStyle w:val="4"/>
          <w:rFonts w:hint="eastAsia" w:ascii="仿宋GB2312" w:hAnsi="仿宋GB2312" w:eastAsia="仿宋GB2312" w:cs="仿宋GB2312"/>
          <w:sz w:val="32"/>
          <w:szCs w:val="32"/>
        </w:rPr>
        <w:t>https://rospatent.gov.ru/ru/news/rospatent-16022024</w:t>
      </w:r>
      <w:r>
        <w:rPr>
          <w:rFonts w:hint="eastAsia" w:ascii="仿宋GB2312" w:hAnsi="仿宋GB2312" w:eastAsia="仿宋GB2312" w:cs="仿宋GB2312"/>
          <w:sz w:val="32"/>
          <w:szCs w:val="32"/>
        </w:rPr>
        <w:fldChar w:fldCharType="end"/>
      </w:r>
    </w:p>
    <w:p>
      <w:pPr>
        <w:numPr>
          <w:numId w:val="0"/>
        </w:numPr>
        <w:ind w:leftChars="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3.</w:t>
      </w:r>
      <w:r>
        <w:rPr>
          <w:rFonts w:hint="eastAsia" w:ascii="仿宋GB2312" w:hAnsi="仿宋GB2312" w:eastAsia="仿宋GB2312" w:cs="仿宋GB2312"/>
          <w:sz w:val="32"/>
          <w:szCs w:val="32"/>
        </w:rPr>
        <w:t>俄哈两国准备共同开展技术合作</w:t>
      </w:r>
    </w:p>
    <w:p>
      <w:pPr>
        <w:numPr>
          <w:ilvl w:val="0"/>
          <w:numId w:val="0"/>
        </w:numPr>
        <w:ind w:leftChars="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俄罗斯、哈萨克斯坦、白俄罗斯、乌兹别克斯坦和吉尔吉斯斯坦五个国家的政府首脑参加国际数字论坛“数字阿拉木图：工业 X”。俄罗斯和哈萨克斯坦准备共同努力，共同开 展人工智能领域的研究，创建共同的数据处理和分析基础设施。双方还准备分享经验、经验、技术和平台解决办法。</w:t>
      </w:r>
    </w:p>
    <w:p>
      <w:pPr>
        <w:numPr>
          <w:ilvl w:val="0"/>
          <w:numId w:val="0"/>
        </w:numPr>
        <w:ind w:leftChars="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来源：俄罗斯联邦知识产权局</w:t>
      </w:r>
    </w:p>
    <w:p>
      <w:pPr>
        <w:numPr>
          <w:ilvl w:val="0"/>
          <w:numId w:val="0"/>
        </w:numPr>
        <w:ind w:leftChars="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"https://rospatent.gov.ru/ru/news/rospatent-02022024" </w:instrText>
      </w:r>
      <w:r>
        <w:rPr>
          <w:rFonts w:hint="eastAsia" w:ascii="仿宋GB2312" w:hAnsi="仿宋GB2312" w:eastAsia="仿宋GB2312" w:cs="仿宋GB2312"/>
          <w:sz w:val="32"/>
          <w:szCs w:val="32"/>
        </w:rPr>
        <w:fldChar w:fldCharType="separate"/>
      </w:r>
      <w:r>
        <w:rPr>
          <w:rStyle w:val="4"/>
          <w:rFonts w:hint="eastAsia" w:ascii="仿宋GB2312" w:hAnsi="仿宋GB2312" w:eastAsia="仿宋GB2312" w:cs="仿宋GB2312"/>
          <w:sz w:val="32"/>
          <w:szCs w:val="32"/>
        </w:rPr>
        <w:t>https://rospatent.gov.ru/ru/news/rospatent-02022024</w:t>
      </w:r>
      <w:r>
        <w:rPr>
          <w:rFonts w:hint="eastAsia" w:ascii="仿宋GB2312" w:hAnsi="仿宋GB2312" w:eastAsia="仿宋GB2312" w:cs="仿宋GB2312"/>
          <w:sz w:val="32"/>
          <w:szCs w:val="32"/>
        </w:rPr>
        <w:fldChar w:fldCharType="end"/>
      </w:r>
    </w:p>
    <w:p>
      <w:pPr>
        <w:numPr>
          <w:ilvl w:val="0"/>
          <w:numId w:val="0"/>
        </w:numPr>
        <w:ind w:leftChars="0" w:firstLine="640" w:firstLineChars="200"/>
        <w:rPr>
          <w:rFonts w:hint="eastAsia" w:ascii="仿宋GB2312" w:hAnsi="仿宋GB2312" w:eastAsia="仿宋GB2312" w:cs="仿宋GB2312"/>
          <w:sz w:val="32"/>
          <w:szCs w:val="32"/>
        </w:rPr>
      </w:pPr>
    </w:p>
    <w:p>
      <w:pPr>
        <w:numPr>
          <w:ilvl w:val="0"/>
          <w:numId w:val="0"/>
        </w:numPr>
        <w:ind w:leftChars="0" w:firstLine="643" w:firstLineChars="200"/>
        <w:rPr>
          <w:rFonts w:hint="eastAsia" w:ascii="仿宋GB2312" w:hAnsi="仿宋GB2312" w:eastAsia="仿宋GB2312" w:cs="仿宋GB2312"/>
          <w:b/>
          <w:bCs/>
          <w:sz w:val="32"/>
          <w:szCs w:val="32"/>
        </w:rPr>
      </w:pPr>
      <w:r>
        <w:rPr>
          <w:rFonts w:hint="eastAsia" w:ascii="仿宋GB2312" w:hAnsi="仿宋GB2312" w:eastAsia="仿宋GB2312" w:cs="仿宋GB2312"/>
          <w:b/>
          <w:bCs/>
          <w:sz w:val="32"/>
          <w:szCs w:val="32"/>
        </w:rPr>
        <w:t xml:space="preserve">巴西 </w:t>
      </w:r>
    </w:p>
    <w:p>
      <w:pPr>
        <w:numPr>
          <w:numId w:val="0"/>
        </w:numPr>
        <w:ind w:leftChars="200" w:firstLine="320" w:firstLineChars="1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1.</w:t>
      </w:r>
      <w:r>
        <w:rPr>
          <w:rFonts w:hint="eastAsia" w:ascii="仿宋GB2312" w:hAnsi="仿宋GB2312" w:eastAsia="仿宋GB2312" w:cs="仿宋GB2312"/>
          <w:sz w:val="32"/>
          <w:szCs w:val="32"/>
        </w:rPr>
        <w:t>巴西国家工业产权局与日本大使讨论工业产权合作</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巴西国家工业产权局于 2 月23 日在里约热内卢与日本驻巴西大使 Teiji Hayashi 会面，讨论两国工业产权合作。</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会议期间，巴西国家知识产权局主席强调了与日本特许厅合作的重要性，Júlio César Moreira 还强调了INPI参与巴西打击盗版、绿色经济等行动的重要性以及更广泛的旨在使国家环境对外国投资越来越有吸引力的活动。</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来源：巴西国家工业产权局 </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"https://www.gov.br/inpi/pt-br/central-de-conteudo/noticias/inpi-discute-cooperacao-em-propriedade-industrial-com-embaixador-do-japao" </w:instrText>
      </w:r>
      <w:r>
        <w:rPr>
          <w:rFonts w:hint="eastAsia" w:ascii="仿宋GB2312" w:hAnsi="仿宋GB2312" w:eastAsia="仿宋GB2312" w:cs="仿宋GB2312"/>
          <w:sz w:val="32"/>
          <w:szCs w:val="32"/>
        </w:rPr>
        <w:fldChar w:fldCharType="separate"/>
      </w:r>
      <w:r>
        <w:rPr>
          <w:rStyle w:val="4"/>
          <w:rFonts w:hint="eastAsia" w:ascii="仿宋GB2312" w:hAnsi="仿宋GB2312" w:eastAsia="仿宋GB2312" w:cs="仿宋GB2312"/>
          <w:sz w:val="32"/>
          <w:szCs w:val="32"/>
        </w:rPr>
        <w:t>https://www.gov.br/inpi/pt-br/central-de-conteudo/noticias/inpi-discute-cooperacao-em-propriedade-industrial-com-embaixador-do-japao</w:t>
      </w:r>
      <w:r>
        <w:rPr>
          <w:rFonts w:hint="eastAsia" w:ascii="仿宋GB2312" w:hAnsi="仿宋GB2312" w:eastAsia="仿宋GB2312" w:cs="仿宋GB2312"/>
          <w:sz w:val="32"/>
          <w:szCs w:val="32"/>
        </w:rPr>
        <w:fldChar w:fldCharType="end"/>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2.</w:t>
      </w:r>
      <w:r>
        <w:rPr>
          <w:rFonts w:hint="eastAsia" w:ascii="仿宋GB2312" w:hAnsi="仿宋GB2312" w:eastAsia="仿宋GB2312" w:cs="仿宋GB2312"/>
          <w:sz w:val="32"/>
          <w:szCs w:val="32"/>
        </w:rPr>
        <w:t>巴西国家工业产权局改进《专利合作条约》的提案</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专利合作条约(PCT)工作组第十七届会议批准了巴西提出的一项名为“国际申请提交媒介”的提案。巴西的提案旨在优化 PCT 国际阶段的订单数字化流程。因此，实施后，INPI等受理局将有以下三种选择：</w:t>
      </w:r>
    </w:p>
    <w:p>
      <w:pPr>
        <w:numPr>
          <w:ilvl w:val="0"/>
          <w:numId w:val="1"/>
        </w:numPr>
        <w:ind w:left="800" w:leftChars="0" w:firstLine="0"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继续允许纸质或电子形式归档；</w:t>
      </w:r>
    </w:p>
    <w:p>
      <w:pPr>
        <w:numPr>
          <w:ilvl w:val="0"/>
          <w:numId w:val="2"/>
        </w:numPr>
        <w:ind w:left="800" w:left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只接受电子形式的归档，向世界知识产权局秘书处</w:t>
      </w:r>
    </w:p>
    <w:p>
      <w:pPr>
        <w:numPr>
          <w:numId w:val="0"/>
        </w:numPr>
        <w:rPr>
          <w:rFonts w:hint="eastAsia" w:ascii="仿宋GB2312" w:hAnsi="仿宋GB2312" w:eastAsia="仿宋GB2312" w:cs="仿宋GB2312"/>
          <w:sz w:val="32"/>
          <w:szCs w:val="32"/>
        </w:rPr>
      </w:pPr>
      <w:r>
        <w:rPr>
          <w:rFonts w:hint="eastAsia" w:ascii="仿宋GB2312" w:hAnsi="仿宋GB2312" w:eastAsia="仿宋GB2312" w:cs="仿宋GB2312"/>
          <w:sz w:val="32"/>
          <w:szCs w:val="32"/>
        </w:rPr>
        <w:t>提供接收纸质归档的选项；或者</w:t>
      </w:r>
    </w:p>
    <w:p>
      <w:pPr>
        <w:numPr>
          <w:ilvl w:val="0"/>
          <w:numId w:val="2"/>
        </w:numPr>
        <w:ind w:left="800" w:leftChars="0" w:firstLine="0"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允许纸归档，但要求在两个月内以电子格式提交文</w:t>
      </w:r>
    </w:p>
    <w:p>
      <w:pPr>
        <w:numPr>
          <w:numId w:val="0"/>
        </w:numPr>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件。 </w:t>
      </w:r>
    </w:p>
    <w:p>
      <w:pPr>
        <w:numPr>
          <w:numId w:val="0"/>
        </w:numPr>
        <w:ind w:left="800" w:left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来源：巴西国家工业产权局 </w:t>
      </w:r>
    </w:p>
    <w:p>
      <w:pPr>
        <w:numPr>
          <w:numId w:val="0"/>
        </w:numPr>
        <w:ind w:left="800" w:leftChars="0"/>
        <w:rPr>
          <w:rStyle w:val="4"/>
          <w:rFonts w:hint="eastAsia" w:ascii="仿宋GB2312" w:hAnsi="仿宋GB2312" w:eastAsia="仿宋GB2312" w:cs="仿宋GB2312"/>
          <w:sz w:val="32"/>
          <w:szCs w:val="32"/>
        </w:rPr>
      </w:pP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"https://www.gov.br/inpi/pt-br/central-de-conteudo/noticias/ompi-aprova-proposta-do-inpi-para-aprimorar-tratado-de-cooperacao-em-patentes" </w:instrText>
      </w:r>
      <w:r>
        <w:rPr>
          <w:rFonts w:hint="eastAsia" w:ascii="仿宋GB2312" w:hAnsi="仿宋GB2312" w:eastAsia="仿宋GB2312" w:cs="仿宋GB2312"/>
          <w:sz w:val="32"/>
          <w:szCs w:val="32"/>
        </w:rPr>
        <w:fldChar w:fldCharType="separate"/>
      </w:r>
      <w:r>
        <w:rPr>
          <w:rStyle w:val="4"/>
          <w:rFonts w:hint="eastAsia" w:ascii="仿宋GB2312" w:hAnsi="仿宋GB2312" w:eastAsia="仿宋GB2312" w:cs="仿宋GB2312"/>
          <w:sz w:val="32"/>
          <w:szCs w:val="32"/>
        </w:rPr>
        <w:t>https://www.gov.br/inpi/pt-br/central-de-conte</w:t>
      </w:r>
    </w:p>
    <w:p>
      <w:pPr>
        <w:numPr>
          <w:numId w:val="0"/>
        </w:numPr>
        <w:rPr>
          <w:rFonts w:hint="eastAsia" w:ascii="仿宋GB2312" w:hAnsi="仿宋GB2312" w:eastAsia="仿宋GB2312" w:cs="仿宋GB2312"/>
          <w:sz w:val="32"/>
          <w:szCs w:val="32"/>
        </w:rPr>
      </w:pPr>
      <w:r>
        <w:rPr>
          <w:rStyle w:val="4"/>
          <w:rFonts w:hint="eastAsia" w:ascii="仿宋GB2312" w:hAnsi="仿宋GB2312" w:eastAsia="仿宋GB2312" w:cs="仿宋GB2312"/>
          <w:sz w:val="32"/>
          <w:szCs w:val="32"/>
        </w:rPr>
        <w:t>udo/noticias/ompi-aprova-proposta-do-inpi-para-aprimorar-tratado-de-cooperacao-em-patentes</w:t>
      </w:r>
      <w:r>
        <w:rPr>
          <w:rFonts w:hint="eastAsia" w:ascii="仿宋GB2312" w:hAnsi="仿宋GB2312" w:eastAsia="仿宋GB2312" w:cs="仿宋GB2312"/>
          <w:sz w:val="32"/>
          <w:szCs w:val="32"/>
        </w:rPr>
        <w:fldChar w:fldCharType="end"/>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3.</w:t>
      </w:r>
      <w:r>
        <w:rPr>
          <w:rFonts w:hint="eastAsia" w:ascii="仿宋GB2312" w:hAnsi="仿宋GB2312" w:eastAsia="仿宋GB2312" w:cs="仿宋GB2312"/>
          <w:sz w:val="32"/>
          <w:szCs w:val="32"/>
        </w:rPr>
        <w:t>巴西国家工业产权局与佛得角讨论工业产权合作</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巴西国家工业产权局于 2 月19 日参加了由佛得角质量和知识产权管理研究所(IGQPI)代表团参加的会议。会议目的是讨论两个机构之间合作的可能性。会议期间，INPI 主席胡利奥·塞萨尔·莫雷拉（JúlioCésar Moreira）介绍了 INPI 2023-2026 年战略规划，强调了在 1 个月内分析未异议商标申请和在2 年内分析专利（自押金）的目标。为此，计划采取与人员雇用、立法改革、人工智能使用等相关的行动。双方表示愿意深化合作。</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来源：巴西国家工业产权局</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"https://www.gov.br/inpi/pt-br/central-de-conteudo/noticias/inpi-discute-cooperacao-em-propriedade-industrial-com-cabo-verde" </w:instrText>
      </w:r>
      <w:r>
        <w:rPr>
          <w:rFonts w:hint="eastAsia" w:ascii="仿宋GB2312" w:hAnsi="仿宋GB2312" w:eastAsia="仿宋GB2312" w:cs="仿宋GB2312"/>
          <w:sz w:val="32"/>
          <w:szCs w:val="32"/>
        </w:rPr>
        <w:fldChar w:fldCharType="separate"/>
      </w:r>
      <w:r>
        <w:rPr>
          <w:rStyle w:val="4"/>
          <w:rFonts w:hint="eastAsia" w:ascii="仿宋GB2312" w:hAnsi="仿宋GB2312" w:eastAsia="仿宋GB2312" w:cs="仿宋GB2312"/>
          <w:sz w:val="32"/>
          <w:szCs w:val="32"/>
        </w:rPr>
        <w:t>https://www.gov.br/inpi/pt-br/central-de-conteudo/noticias/inpi-discute-cooperacao-em-propriedade-industrial-com-cabo-verde</w:t>
      </w:r>
      <w:r>
        <w:rPr>
          <w:rFonts w:hint="eastAsia" w:ascii="仿宋GB2312" w:hAnsi="仿宋GB2312" w:eastAsia="仿宋GB2312" w:cs="仿宋GB2312"/>
          <w:sz w:val="32"/>
          <w:szCs w:val="32"/>
        </w:rPr>
        <w:fldChar w:fldCharType="end"/>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4.</w:t>
      </w:r>
      <w:r>
        <w:rPr>
          <w:rFonts w:hint="eastAsia" w:ascii="仿宋GB2312" w:hAnsi="仿宋GB2312" w:eastAsia="仿宋GB2312" w:cs="仿宋GB2312"/>
          <w:sz w:val="32"/>
          <w:szCs w:val="32"/>
        </w:rPr>
        <w:t>巴西国家工业产权局与美国专利商标局讨论里斯本协定</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巴西国家工业产权局于2 月8 日与美国专利商标局(USPTO) 的代表举行了会议，了解《里斯本协定》对地理标志国际保护的北美愿景。会议上讨论的其他问题包括：美国专利局如何处理专利权利要求的变更、允许的修改类型以及对审查员效率的影响；专利延续/分案申请如何发生；以及负责专利审判和上诉的理事会的运作。《里斯本协定》是由世界知识产权组织（WIPO）管理的一项条约，旨在简化地理标志的国际注册。巴西正在讨论加入该条约的可能性。</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来源：巴西国家工业产权局 </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"https://www.gov.br/inpi/pt-br/central-de-conteudo/noticias/inpi-e-uspto-analisam-acordo-de-lisboa" </w:instrText>
      </w:r>
      <w:r>
        <w:rPr>
          <w:rFonts w:hint="eastAsia" w:ascii="仿宋GB2312" w:hAnsi="仿宋GB2312" w:eastAsia="仿宋GB2312" w:cs="仿宋GB2312"/>
          <w:sz w:val="32"/>
          <w:szCs w:val="32"/>
        </w:rPr>
        <w:fldChar w:fldCharType="separate"/>
      </w:r>
      <w:r>
        <w:rPr>
          <w:rStyle w:val="4"/>
          <w:rFonts w:hint="eastAsia" w:ascii="仿宋GB2312" w:hAnsi="仿宋GB2312" w:eastAsia="仿宋GB2312" w:cs="仿宋GB2312"/>
          <w:sz w:val="32"/>
          <w:szCs w:val="32"/>
        </w:rPr>
        <w:t>https://www.gov.br/inpi/pt-br/central-de-conteudo/noticias/inpi-e-uspto-analisam-acordo-de-lisboa</w:t>
      </w:r>
      <w:r>
        <w:rPr>
          <w:rFonts w:hint="eastAsia" w:ascii="仿宋GB2312" w:hAnsi="仿宋GB2312" w:eastAsia="仿宋GB2312" w:cs="仿宋GB2312"/>
          <w:sz w:val="32"/>
          <w:szCs w:val="32"/>
        </w:rPr>
        <w:fldChar w:fldCharType="end"/>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5.</w:t>
      </w:r>
      <w:r>
        <w:rPr>
          <w:rFonts w:hint="eastAsia" w:ascii="仿宋GB2312" w:hAnsi="仿宋GB2312" w:eastAsia="仿宋GB2312" w:cs="仿宋GB2312"/>
          <w:sz w:val="32"/>
          <w:szCs w:val="32"/>
        </w:rPr>
        <w:t xml:space="preserve">巴西国家工业产权局对布卢梅瑙的香肠进行地理标志认定 </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巴西国家工业产权局于 2024 年2 月6 日对来自布卢梅瑙的纯猪肉香肠进行地理标志认定。截至目前，INPI注册了 121 个地理标志，其中 86 个原产地标志（所有国家）和35 个原产地名称（26 个国内和9 个国外）。</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来源：巴西国家工业产权局 </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"https://www.gov.br/inpi/pt-br/central-de-conteudo/noticias/inpi-reconhece-blumenau-como-centro-produtor-de-linguica" </w:instrText>
      </w:r>
      <w:r>
        <w:rPr>
          <w:rFonts w:hint="eastAsia" w:ascii="仿宋GB2312" w:hAnsi="仿宋GB2312" w:eastAsia="仿宋GB2312" w:cs="仿宋GB2312"/>
          <w:sz w:val="32"/>
          <w:szCs w:val="32"/>
        </w:rPr>
        <w:fldChar w:fldCharType="separate"/>
      </w:r>
      <w:r>
        <w:rPr>
          <w:rStyle w:val="4"/>
          <w:rFonts w:hint="eastAsia" w:ascii="仿宋GB2312" w:hAnsi="仿宋GB2312" w:eastAsia="仿宋GB2312" w:cs="仿宋GB2312"/>
          <w:sz w:val="32"/>
          <w:szCs w:val="32"/>
        </w:rPr>
        <w:t>https://www.gov.br/inpi/pt-br/central-de-conteudo/noticias/inpi-reconhece-blumenau-como-centro-produtor-de-linguica</w:t>
      </w:r>
      <w:r>
        <w:rPr>
          <w:rFonts w:hint="eastAsia" w:ascii="仿宋GB2312" w:hAnsi="仿宋GB2312" w:eastAsia="仿宋GB2312" w:cs="仿宋GB2312"/>
          <w:sz w:val="32"/>
          <w:szCs w:val="32"/>
        </w:rPr>
        <w:fldChar w:fldCharType="end"/>
      </w:r>
    </w:p>
    <w:p>
      <w:pPr>
        <w:numPr>
          <w:numId w:val="0"/>
        </w:numPr>
        <w:ind w:firstLine="640" w:firstLineChars="200"/>
        <w:rPr>
          <w:rFonts w:hint="eastAsia" w:ascii="仿宋GB2312" w:hAnsi="仿宋GB2312" w:eastAsia="仿宋GB2312" w:cs="仿宋GB2312"/>
          <w:sz w:val="32"/>
          <w:szCs w:val="32"/>
        </w:rPr>
      </w:pPr>
    </w:p>
    <w:p>
      <w:pPr>
        <w:numPr>
          <w:ilvl w:val="0"/>
          <w:numId w:val="0"/>
        </w:numPr>
        <w:ind w:firstLine="643" w:firstLineChars="200"/>
        <w:rPr>
          <w:rFonts w:hint="eastAsia" w:ascii="仿宋GB2312" w:hAnsi="仿宋GB2312" w:eastAsia="仿宋GB2312" w:cs="仿宋GB2312"/>
          <w:b/>
          <w:bCs/>
          <w:sz w:val="32"/>
          <w:szCs w:val="32"/>
        </w:rPr>
      </w:pPr>
      <w:r>
        <w:rPr>
          <w:rFonts w:hint="eastAsia" w:ascii="仿宋GB2312" w:hAnsi="仿宋GB2312" w:eastAsia="仿宋GB2312" w:cs="仿宋GB2312"/>
          <w:b/>
          <w:bCs/>
          <w:sz w:val="32"/>
          <w:szCs w:val="32"/>
        </w:rPr>
        <w:t xml:space="preserve">越南 </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1.</w:t>
      </w:r>
      <w:r>
        <w:rPr>
          <w:rFonts w:hint="eastAsia" w:ascii="仿宋GB2312" w:hAnsi="仿宋GB2312" w:eastAsia="仿宋GB2312" w:cs="仿宋GB2312"/>
          <w:sz w:val="32"/>
          <w:szCs w:val="32"/>
        </w:rPr>
        <w:t>关于颁布《国家知识产权局组织运行章程》的决定</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越南科学技术部签署《关于颁布国家知识产权局组织和运作章程》的第 166/QD-BKHCN 号决定。根据新颁布的章程，越南国家知识产权局将部署许多新的任务和权限，以继续履行帮助科技部统一国家知识产权管理的职能，提高工业产权活动的效率。根据新章程，国家知识产权局继续对其组织机构进行调整，以符合现行国家管理机构组织机构和运作规定；国家管理与公共服务活动、负有国家管理职能的单位与公共服务单位之间明确分离，以提高国家管理的有效性和效率，促进部门公共服务活动的进度和质量；确保设备精简、运行平稳、工作流程精简。 </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来源：越南知识产权局 </w:t>
      </w:r>
    </w:p>
    <w:p>
      <w:pPr>
        <w:numPr>
          <w:ilvl w:val="0"/>
          <w:numId w:val="0"/>
        </w:numPr>
        <w:ind w:firstLine="640" w:firstLineChars="200"/>
        <w:rPr>
          <w:rStyle w:val="4"/>
          <w:rFonts w:hint="eastAsia" w:ascii="仿宋GB2312" w:hAnsi="仿宋GB2312" w:eastAsia="仿宋GB2312" w:cs="仿宋GB2312"/>
          <w:sz w:val="32"/>
          <w:szCs w:val="32"/>
        </w:rPr>
      </w:pPr>
      <w:r>
        <w:rPr>
          <w:rStyle w:val="4"/>
          <w:rFonts w:hint="eastAsia" w:ascii="仿宋GB2312" w:hAnsi="仿宋GB2312" w:eastAsia="仿宋GB2312" w:cs="仿宋GB2312"/>
          <w:sz w:val="32"/>
          <w:szCs w:val="32"/>
        </w:rPr>
        <w:t>https://www.ipvietnam.gov.vn/web/guest/hoat-ong-shcn-trong-nuoc/-/asset_publisher/7xsjBfqhCDAV/content/quyet-inh-ban-hanh-ieu-le-to-chuc-va-hoat-ong-cuacuc-so-huu-tri-tue?inheritRedirect=false&amp;redirect=https%3A%2F%2Fwww.ipvietnam.gov.vn%2Fweb%2Fguest%2Fhoat-ong-shcn-trong-nuoc%3Fp_p_id%3D101_INSTANCE_7xsjBfqhCDAV%26p_p_lifecycle%3D0%26p_p_state%3Dnormal%26p_p_mode%3Dview%26p_p_col_id%3Dcolumn-1%26p_p_col _count%3D1</w:t>
      </w:r>
    </w:p>
    <w:p>
      <w:pPr>
        <w:numPr>
          <w:ilvl w:val="0"/>
          <w:numId w:val="0"/>
        </w:numPr>
        <w:ind w:firstLine="640" w:firstLineChars="200"/>
        <w:rPr>
          <w:rStyle w:val="4"/>
          <w:rFonts w:hint="eastAsia" w:ascii="仿宋GB2312" w:hAnsi="仿宋GB2312" w:eastAsia="仿宋GB2312" w:cs="仿宋GB2312"/>
          <w:sz w:val="32"/>
          <w:szCs w:val="32"/>
        </w:rPr>
      </w:pPr>
    </w:p>
    <w:p>
      <w:pPr>
        <w:numPr>
          <w:ilvl w:val="0"/>
          <w:numId w:val="0"/>
        </w:numPr>
        <w:ind w:firstLine="643" w:firstLineChars="200"/>
        <w:rPr>
          <w:rFonts w:hint="eastAsia" w:ascii="仿宋GB2312" w:hAnsi="仿宋GB2312" w:eastAsia="仿宋GB2312" w:cs="仿宋GB2312"/>
          <w:sz w:val="32"/>
          <w:szCs w:val="32"/>
        </w:rPr>
      </w:pPr>
      <w:r>
        <w:rPr>
          <w:rFonts w:hint="eastAsia" w:ascii="仿宋GB2312" w:hAnsi="仿宋GB2312" w:eastAsia="仿宋GB2312" w:cs="仿宋GB2312"/>
          <w:b/>
          <w:bCs/>
          <w:sz w:val="32"/>
          <w:szCs w:val="32"/>
        </w:rPr>
        <w:t>印度尼西亚</w:t>
      </w:r>
      <w:r>
        <w:rPr>
          <w:rFonts w:hint="eastAsia" w:ascii="仿宋GB2312" w:hAnsi="仿宋GB2312" w:eastAsia="仿宋GB2312" w:cs="仿宋GB2312"/>
          <w:sz w:val="32"/>
          <w:szCs w:val="32"/>
        </w:rPr>
        <w:t xml:space="preserve"> </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1.</w:t>
      </w:r>
      <w:r>
        <w:rPr>
          <w:rFonts w:hint="eastAsia" w:ascii="仿宋GB2312" w:hAnsi="仿宋GB2312" w:eastAsia="仿宋GB2312" w:cs="仿宋GB2312"/>
          <w:sz w:val="32"/>
          <w:szCs w:val="32"/>
        </w:rPr>
        <w:t>印度尼西亚知识产权总局接待美国国会议员来访</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雅加达-印度尼西亚知识产权总局（DJKI）接待了美国国会议员的来访，讨论了美国国会议员的关切，特别是为了共同利益，预防和克服假冒或盗版商品入境（知识产权盗窃）领域跨国犯罪的发生。 </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来源：印度尼西亚知识产权总局</w:t>
      </w:r>
    </w:p>
    <w:p>
      <w:pPr>
        <w:numPr>
          <w:numId w:val="0"/>
        </w:numPr>
        <w:ind w:firstLine="640" w:firstLineChars="200"/>
        <w:rPr>
          <w:rFonts w:hint="eastAsia" w:ascii="仿宋GB2312" w:hAnsi="仿宋GB2312" w:eastAsia="仿宋GB2312" w:cs="仿宋GB2312"/>
          <w:sz w:val="32"/>
          <w:szCs w:val="32"/>
        </w:rPr>
      </w:pPr>
      <w:r>
        <w:rPr>
          <w:rStyle w:val="4"/>
          <w:rFonts w:hint="eastAsia" w:ascii="仿宋GB2312" w:hAnsi="仿宋GB2312" w:eastAsia="仿宋GB2312" w:cs="仿宋GB2312"/>
          <w:sz w:val="32"/>
          <w:szCs w:val="32"/>
        </w:rPr>
        <w:t xml:space="preserve">https://dgip.go.id/artikel/detail-artikel/bahas-kerja-sama-djki-terima-kunjungan-anggota-kongres-amerika?kategori=agenda-ki </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2.</w:t>
      </w:r>
      <w:r>
        <w:rPr>
          <w:rFonts w:hint="eastAsia" w:ascii="仿宋GB2312" w:hAnsi="仿宋GB2312" w:eastAsia="仿宋GB2312" w:cs="仿宋GB2312"/>
          <w:sz w:val="32"/>
          <w:szCs w:val="32"/>
        </w:rPr>
        <w:t xml:space="preserve">印度尼西亚知识产权总局出席在日内瓦举行的执法咨询委员会（ACE）第十六届会议 </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印度尼西亚知识产权总局出席了2024 年1 月31日至2月 2 日在日内瓦举行的执法咨询委员会(ACE)第十六届会议。会议讨论了 ACE 第 15 届会议商定的工作计划，包括交流信息以提高认识和开展战略活动，以此作为根据教育方针在广大公众、特别是年轻人中树立尊重知识产权风尚的手段。</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来源：印度尼西亚知识产权总局</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"https://dgip.go.id/artikel/detail-artikel/delegasiindonesia-hadiri-advisory-committee-on-enforcement-ace-sixteenth-session-di-jenewa?kategori=agenda-ki" </w:instrText>
      </w:r>
      <w:r>
        <w:rPr>
          <w:rFonts w:hint="eastAsia" w:ascii="仿宋GB2312" w:hAnsi="仿宋GB2312" w:eastAsia="仿宋GB2312" w:cs="仿宋GB2312"/>
          <w:sz w:val="32"/>
          <w:szCs w:val="32"/>
        </w:rPr>
        <w:fldChar w:fldCharType="separate"/>
      </w:r>
      <w:r>
        <w:rPr>
          <w:rStyle w:val="4"/>
          <w:rFonts w:hint="eastAsia" w:ascii="仿宋GB2312" w:hAnsi="仿宋GB2312" w:eastAsia="仿宋GB2312" w:cs="仿宋GB2312"/>
          <w:sz w:val="32"/>
          <w:szCs w:val="32"/>
        </w:rPr>
        <w:t>https://dgip.go.id/artikel/detail-artikel/delegasiindonesia-hadiri-advisory-committee-on-enforcement-ace-sixteenth-session-di-jenewa?kategori=agenda-ki</w:t>
      </w:r>
      <w:r>
        <w:rPr>
          <w:rFonts w:hint="eastAsia" w:ascii="仿宋GB2312" w:hAnsi="仿宋GB2312" w:eastAsia="仿宋GB2312" w:cs="仿宋GB2312"/>
          <w:sz w:val="32"/>
          <w:szCs w:val="32"/>
        </w:rPr>
        <w:fldChar w:fldCharType="end"/>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3.</w:t>
      </w:r>
      <w:r>
        <w:rPr>
          <w:rFonts w:hint="eastAsia" w:ascii="仿宋GB2312" w:hAnsi="仿宋GB2312" w:eastAsia="仿宋GB2312" w:cs="仿宋GB2312"/>
          <w:sz w:val="32"/>
          <w:szCs w:val="32"/>
        </w:rPr>
        <w:t xml:space="preserve">完善知识产权生态，印度尼西亚知识产权总局参加泰国信息技术应用论坛 </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印度尼西亚知识产权总局参加世界知识产权产权组织-东盟信息技术战略论坛：“利用东盟知识产权登记册的潜力，打造更强大的区域知识产权生态系统”。东南亚国家联盟（ASEAN）各成员国的知识产权注册国家协调员、日本专利局（JPO）和世界知识产权组织（WIPO）的代表出席了本次会议。会议强调了知识产权注册簿的实用性，以及人工智能等技术和用途，人工智能有助于检索知识产权数据，并使专利分类等知识产权程序自动化，并加快知识产权数据的处理速度。这些战略可以在印度尼西亚实施，印度尼西亚是东盟内知识产权请求最多的国家之一。</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来源：印度尼西亚知识产权总局</w:t>
      </w:r>
    </w:p>
    <w:p>
      <w:pPr>
        <w:numPr>
          <w:numId w:val="0"/>
        </w:numPr>
        <w:ind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fldChar w:fldCharType="begin"/>
      </w:r>
      <w:r>
        <w:rPr>
          <w:rFonts w:hint="eastAsia" w:ascii="仿宋GB2312" w:hAnsi="仿宋GB2312" w:eastAsia="仿宋GB2312" w:cs="仿宋GB2312"/>
          <w:sz w:val="32"/>
          <w:szCs w:val="32"/>
        </w:rPr>
        <w:instrText xml:space="preserve"> HYPERLINK "https://dgip.go.id/artikel/detail-artikel/tingkatkan-ekosistem-kekayaan-intelektual-djki-ikuti-forum-penggunaan-teknologi-informasi-di-thailand?kategori=agenda-ki" </w:instrText>
      </w:r>
      <w:r>
        <w:rPr>
          <w:rFonts w:hint="eastAsia" w:ascii="仿宋GB2312" w:hAnsi="仿宋GB2312" w:eastAsia="仿宋GB2312" w:cs="仿宋GB2312"/>
          <w:sz w:val="32"/>
          <w:szCs w:val="32"/>
        </w:rPr>
        <w:fldChar w:fldCharType="separate"/>
      </w:r>
      <w:r>
        <w:rPr>
          <w:rStyle w:val="4"/>
          <w:rFonts w:hint="eastAsia" w:ascii="仿宋GB2312" w:hAnsi="仿宋GB2312" w:eastAsia="仿宋GB2312" w:cs="仿宋GB2312"/>
          <w:sz w:val="32"/>
          <w:szCs w:val="32"/>
        </w:rPr>
        <w:t>https://dgip.go.id/artikel/detail-artikel/tingkatkan-ekosistem-kekayaan-intelektual-djki-ikuti-forum-penggunaan-teknologi-informasi-di-thailand?kategori=agenda-ki</w:t>
      </w:r>
      <w:r>
        <w:rPr>
          <w:rFonts w:hint="eastAsia" w:ascii="仿宋GB2312" w:hAnsi="仿宋GB2312" w:eastAsia="仿宋GB2312" w:cs="仿宋GB2312"/>
          <w:sz w:val="32"/>
          <w:szCs w:val="32"/>
        </w:rPr>
        <w:fldChar w:fldCharType="end"/>
      </w:r>
    </w:p>
    <w:p>
      <w:pPr>
        <w:numPr>
          <w:numId w:val="0"/>
        </w:numPr>
        <w:ind w:firstLine="640" w:firstLineChars="200"/>
        <w:rPr>
          <w:rFonts w:hint="eastAsia" w:ascii="仿宋GB2312" w:hAnsi="仿宋GB2312" w:eastAsia="仿宋GB2312" w:cs="仿宋GB2312"/>
          <w:sz w:val="32"/>
          <w:szCs w:val="32"/>
        </w:rPr>
      </w:pPr>
    </w:p>
    <w:p>
      <w:pPr>
        <w:numPr>
          <w:ilvl w:val="0"/>
          <w:numId w:val="0"/>
        </w:numPr>
        <w:ind w:firstLine="640" w:firstLineChars="200"/>
        <w:rPr>
          <w:rFonts w:hint="eastAsia" w:ascii="仿宋GB2312" w:hAnsi="仿宋GB2312" w:eastAsia="仿宋GB2312" w:cs="仿宋GB2312"/>
          <w:sz w:val="32"/>
          <w:szCs w:val="32"/>
        </w:rPr>
      </w:pPr>
    </w:p>
    <w:p>
      <w:pPr>
        <w:numPr>
          <w:ilvl w:val="0"/>
          <w:numId w:val="0"/>
        </w:numPr>
        <w:ind w:firstLine="640" w:firstLineChars="200"/>
        <w:rPr>
          <w:rFonts w:hint="eastAsia" w:ascii="仿宋GB2312" w:hAnsi="仿宋GB2312" w:eastAsia="仿宋GB2312" w:cs="仿宋GB2312"/>
          <w:sz w:val="32"/>
          <w:szCs w:val="32"/>
        </w:rPr>
      </w:pPr>
    </w:p>
    <w:p>
      <w:pPr>
        <w:numPr>
          <w:ilvl w:val="0"/>
          <w:numId w:val="0"/>
        </w:numPr>
        <w:ind w:firstLine="640" w:firstLineChars="200"/>
        <w:rPr>
          <w:rFonts w:hint="eastAsia" w:ascii="仿宋GB2312" w:hAnsi="仿宋GB2312" w:eastAsia="仿宋GB2312" w:cs="仿宋GB2312"/>
          <w:sz w:val="32"/>
          <w:szCs w:val="32"/>
        </w:rPr>
      </w:pPr>
    </w:p>
    <w:p>
      <w:pPr>
        <w:numPr>
          <w:ilvl w:val="0"/>
          <w:numId w:val="0"/>
        </w:numPr>
        <w:ind w:firstLine="640" w:firstLineChars="200"/>
        <w:rPr>
          <w:rFonts w:hint="eastAsia" w:ascii="仿宋GB2312" w:hAnsi="仿宋GB2312" w:eastAsia="仿宋GB2312" w:cs="仿宋GB2312"/>
          <w:sz w:val="32"/>
          <w:szCs w:val="32"/>
        </w:rPr>
      </w:pPr>
    </w:p>
    <w:p>
      <w:pPr>
        <w:numPr>
          <w:ilvl w:val="0"/>
          <w:numId w:val="0"/>
        </w:numPr>
        <w:ind w:firstLine="640" w:firstLineChars="200"/>
        <w:rPr>
          <w:rFonts w:hint="eastAsia" w:ascii="仿宋GB2312" w:hAnsi="仿宋GB2312" w:eastAsia="仿宋GB2312" w:cs="仿宋GB2312"/>
          <w:sz w:val="32"/>
          <w:szCs w:val="32"/>
        </w:rPr>
      </w:pPr>
    </w:p>
    <w:p>
      <w:pPr>
        <w:numPr>
          <w:ilvl w:val="0"/>
          <w:numId w:val="0"/>
        </w:numPr>
        <w:ind w:firstLine="640" w:firstLineChars="200"/>
        <w:rPr>
          <w:rFonts w:hint="eastAsia" w:ascii="仿宋GB2312" w:hAnsi="仿宋GB2312" w:eastAsia="仿宋GB2312" w:cs="仿宋GB2312"/>
          <w:sz w:val="32"/>
          <w:szCs w:val="32"/>
        </w:rPr>
      </w:pPr>
    </w:p>
    <w:p>
      <w:pPr>
        <w:numPr>
          <w:ilvl w:val="0"/>
          <w:numId w:val="0"/>
        </w:numPr>
        <w:ind w:firstLine="640" w:firstLineChars="200"/>
        <w:rPr>
          <w:rFonts w:hint="eastAsia" w:ascii="仿宋GB2312" w:hAnsi="仿宋GB2312" w:eastAsia="仿宋GB2312" w:cs="仿宋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89D4604"/>
    <w:multiLevelType w:val="singleLevel"/>
    <w:tmpl w:val="D89D4604"/>
    <w:lvl w:ilvl="0" w:tentative="0">
      <w:start w:val="1"/>
      <w:numFmt w:val="decimal"/>
      <w:suff w:val="nothing"/>
      <w:lvlText w:val="%1）"/>
      <w:lvlJc w:val="left"/>
      <w:pPr>
        <w:ind w:left="800" w:leftChars="0" w:firstLine="0" w:firstLineChars="0"/>
      </w:pPr>
    </w:lvl>
  </w:abstractNum>
  <w:abstractNum w:abstractNumId="1">
    <w:nsid w:val="44118BE8"/>
    <w:multiLevelType w:val="singleLevel"/>
    <w:tmpl w:val="44118BE8"/>
    <w:lvl w:ilvl="0" w:tentative="0">
      <w:start w:val="2"/>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8F2608"/>
    <w:rsid w:val="059B759D"/>
    <w:rsid w:val="069F4364"/>
    <w:rsid w:val="0EC765D7"/>
    <w:rsid w:val="12BE7889"/>
    <w:rsid w:val="167B388B"/>
    <w:rsid w:val="1CA2765A"/>
    <w:rsid w:val="1EEB062A"/>
    <w:rsid w:val="2319141A"/>
    <w:rsid w:val="299A343F"/>
    <w:rsid w:val="2A0602C2"/>
    <w:rsid w:val="2EEB300B"/>
    <w:rsid w:val="2F760802"/>
    <w:rsid w:val="313E7656"/>
    <w:rsid w:val="332B58FA"/>
    <w:rsid w:val="35FB0287"/>
    <w:rsid w:val="36C537C3"/>
    <w:rsid w:val="39732393"/>
    <w:rsid w:val="3C76370C"/>
    <w:rsid w:val="3D6568A8"/>
    <w:rsid w:val="3DD04833"/>
    <w:rsid w:val="3DF8660F"/>
    <w:rsid w:val="40D02257"/>
    <w:rsid w:val="43CC5F39"/>
    <w:rsid w:val="448A0172"/>
    <w:rsid w:val="48525C9D"/>
    <w:rsid w:val="4EDB1945"/>
    <w:rsid w:val="50FE6488"/>
    <w:rsid w:val="51B857B3"/>
    <w:rsid w:val="55005E85"/>
    <w:rsid w:val="558215C9"/>
    <w:rsid w:val="57FB7369"/>
    <w:rsid w:val="5A064B30"/>
    <w:rsid w:val="5E08739E"/>
    <w:rsid w:val="66404781"/>
    <w:rsid w:val="66FE457E"/>
    <w:rsid w:val="68D42463"/>
    <w:rsid w:val="6C793BB2"/>
    <w:rsid w:val="6CDB36BF"/>
    <w:rsid w:val="70C654CF"/>
    <w:rsid w:val="72A373CA"/>
    <w:rsid w:val="760C271A"/>
    <w:rsid w:val="77FC053A"/>
    <w:rsid w:val="7C1E68DD"/>
    <w:rsid w:val="7FF66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64</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2024-05-08T01:19:00Z</dcterms:created>
  <dc:creator>Lenovo</dc:creator>
  <cp:lastModifiedBy>Lenovo</cp:lastModifiedBy>
  <dcterms:modified xsi:type="dcterms:W3CDTF">2024-05-08T02:46:27Z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